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1E" w:rsidRPr="006B5419" w:rsidRDefault="008C5C1E" w:rsidP="00C118CB">
      <w:pPr>
        <w:pStyle w:val="Title"/>
        <w:spacing w:after="0"/>
        <w:jc w:val="center"/>
        <w:rPr>
          <w:b/>
          <w:sz w:val="36"/>
        </w:rPr>
      </w:pPr>
      <w:r w:rsidRPr="006B5419">
        <w:rPr>
          <w:b/>
          <w:sz w:val="36"/>
        </w:rPr>
        <w:t>Toward a</w:t>
      </w:r>
      <w:r w:rsidR="006B5419" w:rsidRPr="006B5419">
        <w:rPr>
          <w:b/>
          <w:sz w:val="36"/>
        </w:rPr>
        <w:t>n OGC</w:t>
      </w:r>
      <w:r w:rsidRPr="006B5419">
        <w:rPr>
          <w:b/>
          <w:sz w:val="36"/>
        </w:rPr>
        <w:t xml:space="preserve"> Health Domain Working Group</w:t>
      </w:r>
    </w:p>
    <w:p w:rsidR="00006418" w:rsidRPr="006B5419" w:rsidRDefault="00006418" w:rsidP="00C118CB">
      <w:pPr>
        <w:pStyle w:val="Title"/>
        <w:spacing w:after="0"/>
        <w:jc w:val="center"/>
        <w:rPr>
          <w:b/>
          <w:sz w:val="36"/>
        </w:rPr>
      </w:pPr>
      <w:r w:rsidRPr="006B5419">
        <w:rPr>
          <w:b/>
          <w:sz w:val="36"/>
        </w:rPr>
        <w:t>Discussion Paper</w:t>
      </w:r>
    </w:p>
    <w:p w:rsidR="003556BC" w:rsidRDefault="00006418" w:rsidP="00E820F3">
      <w:pPr>
        <w:pStyle w:val="Heading1"/>
        <w:spacing w:before="120"/>
      </w:pPr>
      <w:r>
        <w:t xml:space="preserve">Purpose of </w:t>
      </w:r>
      <w:r w:rsidR="004506AB">
        <w:t xml:space="preserve">an OGC </w:t>
      </w:r>
      <w:r>
        <w:t>Health D</w:t>
      </w:r>
      <w:r w:rsidR="004506AB">
        <w:t xml:space="preserve">omain </w:t>
      </w:r>
      <w:r>
        <w:t>W</w:t>
      </w:r>
      <w:r w:rsidR="004506AB">
        <w:t xml:space="preserve">orking </w:t>
      </w:r>
      <w:r>
        <w:t>G</w:t>
      </w:r>
      <w:r w:rsidR="004506AB">
        <w:t>roup</w:t>
      </w:r>
    </w:p>
    <w:p w:rsidR="00006418" w:rsidRDefault="00A44B8E" w:rsidP="00434D15">
      <w:pPr>
        <w:spacing w:after="0" w:line="240" w:lineRule="auto"/>
      </w:pPr>
      <w:r>
        <w:t>A</w:t>
      </w:r>
      <w:r w:rsidR="001F6CB6">
        <w:t xml:space="preserve">n </w:t>
      </w:r>
      <w:r w:rsidR="001F6CB6" w:rsidRPr="001253C4">
        <w:rPr>
          <w:b/>
        </w:rPr>
        <w:t>OGC</w:t>
      </w:r>
      <w:r w:rsidRPr="001253C4">
        <w:rPr>
          <w:b/>
        </w:rPr>
        <w:t xml:space="preserve"> Health Domain Working Group</w:t>
      </w:r>
      <w:r>
        <w:t xml:space="preserve"> would enable OGC to identify and work with a representative group of market participants in the identification and prioritization of use cases, business and technical requirements that will provide the most significant value, or mitigate the most significant ris</w:t>
      </w:r>
      <w:r w:rsidR="00E820F3">
        <w:t>ks in this arena.  Through e</w:t>
      </w:r>
      <w:r>
        <w:t xml:space="preserve">fforts to identify </w:t>
      </w:r>
      <w:r w:rsidR="00DF6A40">
        <w:t>requirements, gaps in standards</w:t>
      </w:r>
      <w:r>
        <w:t xml:space="preserve"> and opportunities for demonstration, </w:t>
      </w:r>
      <w:r w:rsidR="00E820F3">
        <w:t xml:space="preserve">a Health Domain Working Group will contribute to </w:t>
      </w:r>
      <w:r>
        <w:t>develop</w:t>
      </w:r>
      <w:r w:rsidR="00E820F3">
        <w:t>ment of</w:t>
      </w:r>
      <w:r>
        <w:t xml:space="preserve"> open mapping standards in support of public health requirement</w:t>
      </w:r>
      <w:r w:rsidR="00E820F3">
        <w:t>s.</w:t>
      </w:r>
      <w:r w:rsidR="00E820F3" w:rsidRPr="00E820F3">
        <w:t xml:space="preserve"> </w:t>
      </w:r>
      <w:r w:rsidR="00E820F3">
        <w:t xml:space="preserve">  Through bringing together geospatial vendor</w:t>
      </w:r>
      <w:r w:rsidR="000C27EF">
        <w:t>s</w:t>
      </w:r>
      <w:r w:rsidR="00E820F3">
        <w:t xml:space="preserve"> and end-user</w:t>
      </w:r>
      <w:r w:rsidR="000C27EF">
        <w:t>s</w:t>
      </w:r>
      <w:r w:rsidR="00E820F3">
        <w:t xml:space="preserve">, </w:t>
      </w:r>
      <w:r w:rsidR="000C27EF">
        <w:t xml:space="preserve">an OGC </w:t>
      </w:r>
      <w:r w:rsidR="00E820F3">
        <w:t xml:space="preserve">Health Domain Working Group will cultivate technical solutions which support interoperable concepts, data definitions, formats and services for publishing, search, and exchange of geospatial information.  </w:t>
      </w:r>
    </w:p>
    <w:p w:rsidR="00A430AA" w:rsidRDefault="00A430AA" w:rsidP="00A430AA">
      <w:pPr>
        <w:pStyle w:val="Heading1"/>
        <w:spacing w:before="120"/>
      </w:pPr>
      <w:r>
        <w:t>Proposed Activities</w:t>
      </w:r>
      <w:r w:rsidR="006A718F">
        <w:t xml:space="preserve"> / Roles</w:t>
      </w:r>
    </w:p>
    <w:p w:rsidR="00A430AA" w:rsidRDefault="001253C4" w:rsidP="00C51D79">
      <w:pPr>
        <w:spacing w:after="0" w:line="240" w:lineRule="auto"/>
      </w:pPr>
      <w:r>
        <w:t xml:space="preserve">This Discussion Paper aims to outline potential roles for an OGC Health Domain Working Group.  This </w:t>
      </w:r>
      <w:r w:rsidR="00A50053">
        <w:t>may include but is not limited to,</w:t>
      </w:r>
      <w:r>
        <w:t xml:space="preserve"> activities to: </w:t>
      </w:r>
    </w:p>
    <w:p w:rsidR="00A430AA" w:rsidRDefault="00A430AA" w:rsidP="00C51D79">
      <w:pPr>
        <w:pStyle w:val="ListParagraph"/>
        <w:numPr>
          <w:ilvl w:val="0"/>
          <w:numId w:val="2"/>
        </w:numPr>
        <w:spacing w:after="0" w:line="240" w:lineRule="auto"/>
      </w:pPr>
      <w:r w:rsidRPr="000C27EF">
        <w:rPr>
          <w:b/>
        </w:rPr>
        <w:t>Convene</w:t>
      </w:r>
      <w:r>
        <w:t xml:space="preserve"> OGC members and non-members in the public health domain</w:t>
      </w:r>
    </w:p>
    <w:p w:rsidR="00A430AA" w:rsidRDefault="00A430AA" w:rsidP="00C51D79">
      <w:pPr>
        <w:pStyle w:val="ListParagraph"/>
        <w:numPr>
          <w:ilvl w:val="0"/>
          <w:numId w:val="2"/>
        </w:numPr>
        <w:spacing w:after="0" w:line="240" w:lineRule="auto"/>
      </w:pPr>
      <w:r w:rsidRPr="000C27EF">
        <w:rPr>
          <w:b/>
        </w:rPr>
        <w:t xml:space="preserve">Build </w:t>
      </w:r>
      <w:r w:rsidR="000C27EF">
        <w:rPr>
          <w:b/>
        </w:rPr>
        <w:t>C</w:t>
      </w:r>
      <w:r w:rsidRPr="000C27EF">
        <w:rPr>
          <w:b/>
        </w:rPr>
        <w:t>apacity</w:t>
      </w:r>
      <w:r>
        <w:t xml:space="preserve"> for technical solutions, knowledge exchange, requirements gathering</w:t>
      </w:r>
      <w:r w:rsidR="00C118CB">
        <w:t xml:space="preserve"> and prioritization</w:t>
      </w:r>
    </w:p>
    <w:p w:rsidR="00A430AA" w:rsidRDefault="00A430AA" w:rsidP="00A430AA">
      <w:pPr>
        <w:pStyle w:val="ListParagraph"/>
        <w:numPr>
          <w:ilvl w:val="0"/>
          <w:numId w:val="2"/>
        </w:numPr>
        <w:spacing w:after="0" w:line="240" w:lineRule="auto"/>
      </w:pPr>
      <w:r w:rsidRPr="000C27EF">
        <w:rPr>
          <w:b/>
        </w:rPr>
        <w:t xml:space="preserve">Assimilate </w:t>
      </w:r>
      <w:r w:rsidR="000C27EF">
        <w:rPr>
          <w:b/>
        </w:rPr>
        <w:t>I</w:t>
      </w:r>
      <w:r w:rsidRPr="000C27EF">
        <w:rPr>
          <w:b/>
        </w:rPr>
        <w:t>nputs</w:t>
      </w:r>
      <w:r>
        <w:t xml:space="preserve"> toward geospatial standards development, including data definitions, formats, and services for publishing, discovery, exchange</w:t>
      </w:r>
      <w:r w:rsidR="006B5419">
        <w:t xml:space="preserve">, and </w:t>
      </w:r>
      <w:proofErr w:type="spellStart"/>
      <w:r w:rsidR="006B5419">
        <w:t>queryability</w:t>
      </w:r>
      <w:proofErr w:type="spellEnd"/>
      <w:r>
        <w:t xml:space="preserve"> of geospatial information</w:t>
      </w:r>
    </w:p>
    <w:p w:rsidR="00A430AA" w:rsidRDefault="00A430AA" w:rsidP="00A430AA">
      <w:pPr>
        <w:pStyle w:val="ListParagraph"/>
        <w:numPr>
          <w:ilvl w:val="0"/>
          <w:numId w:val="2"/>
        </w:numPr>
        <w:spacing w:before="120" w:after="0" w:line="240" w:lineRule="auto"/>
      </w:pPr>
      <w:r w:rsidRPr="000C27EF">
        <w:rPr>
          <w:b/>
        </w:rPr>
        <w:t>Spawn</w:t>
      </w:r>
      <w:r>
        <w:t xml:space="preserve"> </w:t>
      </w:r>
      <w:r w:rsidR="000C27EF" w:rsidRPr="000C27EF">
        <w:rPr>
          <w:b/>
        </w:rPr>
        <w:t>Demonstration Projects</w:t>
      </w:r>
      <w:r w:rsidR="009F459A">
        <w:t xml:space="preserve">, </w:t>
      </w:r>
      <w:r w:rsidR="009F459A" w:rsidRPr="009F459A">
        <w:rPr>
          <w:rFonts w:ascii="Calibri" w:eastAsia="Times New Roman" w:hAnsi="Calibri"/>
          <w:color w:val="000000"/>
          <w:szCs w:val="24"/>
        </w:rPr>
        <w:t>Interoperability Experiments</w:t>
      </w:r>
      <w:r w:rsidR="009F459A">
        <w:rPr>
          <w:rFonts w:ascii="Calibri" w:eastAsia="Times New Roman" w:hAnsi="Calibri"/>
          <w:color w:val="000000"/>
          <w:szCs w:val="24"/>
        </w:rPr>
        <w:t>,</w:t>
      </w:r>
      <w:r w:rsidR="009F459A" w:rsidRPr="009F459A">
        <w:rPr>
          <w:rFonts w:ascii="Calibri" w:eastAsia="Times New Roman" w:hAnsi="Calibri"/>
          <w:color w:val="000000"/>
          <w:szCs w:val="24"/>
        </w:rPr>
        <w:t xml:space="preserve"> </w:t>
      </w:r>
      <w:r w:rsidR="009F459A">
        <w:rPr>
          <w:rFonts w:ascii="Calibri" w:eastAsia="Times New Roman" w:hAnsi="Calibri"/>
          <w:color w:val="000000"/>
          <w:szCs w:val="24"/>
        </w:rPr>
        <w:t>and</w:t>
      </w:r>
      <w:r w:rsidR="009F459A" w:rsidRPr="009F459A">
        <w:rPr>
          <w:rFonts w:ascii="Calibri" w:eastAsia="Times New Roman" w:hAnsi="Calibri"/>
          <w:color w:val="000000"/>
          <w:szCs w:val="24"/>
        </w:rPr>
        <w:t xml:space="preserve"> Interoperability Pilots</w:t>
      </w:r>
    </w:p>
    <w:p w:rsidR="001253C4" w:rsidRDefault="00A430AA" w:rsidP="001253C4">
      <w:pPr>
        <w:pStyle w:val="ListParagraph"/>
        <w:numPr>
          <w:ilvl w:val="0"/>
          <w:numId w:val="2"/>
        </w:numPr>
        <w:spacing w:before="120" w:after="0" w:line="240" w:lineRule="auto"/>
      </w:pPr>
      <w:r w:rsidRPr="001253C4">
        <w:rPr>
          <w:b/>
        </w:rPr>
        <w:t>Educate</w:t>
      </w:r>
      <w:r w:rsidR="000C27EF">
        <w:t xml:space="preserve"> </w:t>
      </w:r>
      <w:r w:rsidR="000C27EF" w:rsidRPr="001253C4">
        <w:rPr>
          <w:b/>
        </w:rPr>
        <w:t xml:space="preserve">and </w:t>
      </w:r>
      <w:r w:rsidRPr="001253C4">
        <w:rPr>
          <w:b/>
        </w:rPr>
        <w:t>Inform</w:t>
      </w:r>
      <w:r>
        <w:t xml:space="preserve"> </w:t>
      </w:r>
      <w:r w:rsidR="00C118CB">
        <w:t>Public Health communities-of-practice</w:t>
      </w:r>
    </w:p>
    <w:p w:rsidR="00006418" w:rsidRPr="00A430AA" w:rsidRDefault="00DF1F4E" w:rsidP="001253C4">
      <w:pPr>
        <w:pStyle w:val="Heading1"/>
        <w:spacing w:before="120"/>
      </w:pPr>
      <w:r>
        <w:t xml:space="preserve">Proposed Format / </w:t>
      </w:r>
      <w:r w:rsidR="00006418" w:rsidRPr="00A430AA">
        <w:t xml:space="preserve">Membership </w:t>
      </w:r>
    </w:p>
    <w:p w:rsidR="006A718F" w:rsidRDefault="006A718F" w:rsidP="00434D15">
      <w:pPr>
        <w:spacing w:after="0" w:line="240" w:lineRule="auto"/>
      </w:pPr>
      <w:r>
        <w:t>The suggested format for a</w:t>
      </w:r>
      <w:r w:rsidR="004506AB">
        <w:t>n OGC</w:t>
      </w:r>
      <w:r>
        <w:t xml:space="preserve"> Health</w:t>
      </w:r>
      <w:r w:rsidR="000F5C46">
        <w:t xml:space="preserve"> Domain Working Group is </w:t>
      </w:r>
      <w:r w:rsidR="000F5C46" w:rsidRPr="004506AB">
        <w:rPr>
          <w:b/>
        </w:rPr>
        <w:t xml:space="preserve">Public </w:t>
      </w:r>
      <w:r w:rsidR="000F5C46">
        <w:t>– i.e. open to</w:t>
      </w:r>
      <w:r w:rsidR="00DF6A40">
        <w:t xml:space="preserve"> OGC members and</w:t>
      </w:r>
      <w:r w:rsidR="000F5C46">
        <w:t xml:space="preserve"> non-members.  This will </w:t>
      </w:r>
      <w:r w:rsidR="00DA69D7">
        <w:t>enhance the opportunity for health sector, government agencies, and geospatial community to collaborate in user</w:t>
      </w:r>
      <w:r w:rsidR="004506AB">
        <w:t>/technical</w:t>
      </w:r>
      <w:r w:rsidR="00DA69D7">
        <w:t xml:space="preserve"> requirements gathering, development of standards, knowledge exchange, demonstration through interoperability projects of open mapping standards in support of public health</w:t>
      </w:r>
      <w:r w:rsidR="000C27EF">
        <w:t xml:space="preserve"> requirements</w:t>
      </w:r>
      <w:r w:rsidR="00DA69D7">
        <w:t xml:space="preserve">. </w:t>
      </w:r>
    </w:p>
    <w:p w:rsidR="00006418" w:rsidRDefault="00006418" w:rsidP="00E820F3">
      <w:pPr>
        <w:pStyle w:val="Heading1"/>
        <w:spacing w:before="120"/>
      </w:pPr>
      <w:r>
        <w:t>Statement of Needs</w:t>
      </w:r>
      <w:r w:rsidR="006A718F">
        <w:t xml:space="preserve"> / Strategic Objectives</w:t>
      </w:r>
    </w:p>
    <w:p w:rsidR="00DF6A40" w:rsidRDefault="00DF6A40" w:rsidP="00C118CB">
      <w:pPr>
        <w:spacing w:after="0" w:line="240" w:lineRule="auto"/>
      </w:pPr>
      <w:r>
        <w:t xml:space="preserve">Based on </w:t>
      </w:r>
      <w:r w:rsidR="000C27EF">
        <w:t>previous</w:t>
      </w:r>
      <w:r>
        <w:t xml:space="preserve"> research, health stakeholder consultation, and implementations of OGC web map standards in support of health, the following list summarizes potential focus areas /</w:t>
      </w:r>
      <w:r w:rsidR="001253C4">
        <w:t xml:space="preserve"> marketplace</w:t>
      </w:r>
      <w:r>
        <w:t xml:space="preserve"> needs to be addressed by an OGC Health Domain Working Group:</w:t>
      </w:r>
    </w:p>
    <w:p w:rsidR="001253C4" w:rsidRDefault="001253C4" w:rsidP="00C118CB">
      <w:pPr>
        <w:spacing w:after="0" w:line="240" w:lineRule="auto"/>
      </w:pPr>
    </w:p>
    <w:p w:rsidR="001253C4" w:rsidRDefault="001253C4" w:rsidP="00C118CB">
      <w:pPr>
        <w:pStyle w:val="ListParagraph"/>
        <w:numPr>
          <w:ilvl w:val="0"/>
          <w:numId w:val="5"/>
        </w:numPr>
        <w:spacing w:after="0" w:line="240" w:lineRule="auto"/>
      </w:pPr>
      <w:r w:rsidRPr="00C118CB">
        <w:rPr>
          <w:b/>
        </w:rPr>
        <w:t xml:space="preserve">Address interoperability </w:t>
      </w:r>
      <w:r w:rsidR="003A3C6B" w:rsidRPr="00C118CB">
        <w:rPr>
          <w:b/>
        </w:rPr>
        <w:t xml:space="preserve">requirements </w:t>
      </w:r>
      <w:r>
        <w:t xml:space="preserve">– </w:t>
      </w:r>
      <w:r w:rsidR="003A3C6B">
        <w:t xml:space="preserve">e.g. </w:t>
      </w:r>
      <w:r>
        <w:t xml:space="preserve">support more effective </w:t>
      </w:r>
      <w:r w:rsidR="003A3C6B">
        <w:t xml:space="preserve">health </w:t>
      </w:r>
      <w:r>
        <w:t>surveillance</w:t>
      </w:r>
      <w:r w:rsidR="003A3C6B">
        <w:t xml:space="preserve"> using open mapping standards to access distributed geospatial data pertaining to</w:t>
      </w:r>
      <w:r>
        <w:t xml:space="preserve"> disease, disease vectors and vulnerable communities</w:t>
      </w:r>
      <w:r w:rsidR="003A3C6B">
        <w:t xml:space="preserve"> / populations</w:t>
      </w:r>
      <w:r w:rsidR="003A3C6B" w:rsidRPr="00F50B87">
        <w:t>.</w:t>
      </w:r>
      <w:r w:rsidRPr="00F50B87">
        <w:t xml:space="preserve"> </w:t>
      </w:r>
      <w:r w:rsidR="00F50B87" w:rsidRPr="00F50B87">
        <w:t>The WHO has called for systemic approaches to monitoring environmental determinants of public health, reducing population vulnerability and mitigating risks or impacts from infectious and vector borne diseases.</w:t>
      </w:r>
    </w:p>
    <w:p w:rsidR="001253C4" w:rsidRDefault="001253C4" w:rsidP="00C118CB">
      <w:pPr>
        <w:pStyle w:val="ListParagraph"/>
        <w:numPr>
          <w:ilvl w:val="0"/>
          <w:numId w:val="5"/>
        </w:numPr>
        <w:spacing w:after="0" w:line="240" w:lineRule="auto"/>
      </w:pPr>
      <w:r w:rsidRPr="00C118CB">
        <w:rPr>
          <w:b/>
        </w:rPr>
        <w:t xml:space="preserve">Support </w:t>
      </w:r>
      <w:r w:rsidR="003A3C6B" w:rsidRPr="00C118CB">
        <w:rPr>
          <w:b/>
        </w:rPr>
        <w:t>collaborative r</w:t>
      </w:r>
      <w:r w:rsidRPr="00C118CB">
        <w:rPr>
          <w:b/>
        </w:rPr>
        <w:t>esearch</w:t>
      </w:r>
      <w:r>
        <w:t xml:space="preserve"> in</w:t>
      </w:r>
      <w:r w:rsidR="003A3C6B">
        <w:t>to cumulative, synergistic, non-</w:t>
      </w:r>
      <w:r>
        <w:t>linear impacts (e.g. ecosystem fragmentation) to public health</w:t>
      </w:r>
      <w:r w:rsidR="003A3C6B">
        <w:t>, for risk assessment and reduction</w:t>
      </w:r>
    </w:p>
    <w:p w:rsidR="001253C4" w:rsidRDefault="001253C4" w:rsidP="00C118CB">
      <w:pPr>
        <w:pStyle w:val="ListParagraph"/>
        <w:numPr>
          <w:ilvl w:val="0"/>
          <w:numId w:val="5"/>
        </w:numPr>
        <w:spacing w:after="0" w:line="240" w:lineRule="auto"/>
      </w:pPr>
      <w:r w:rsidRPr="00C118CB">
        <w:rPr>
          <w:b/>
        </w:rPr>
        <w:t xml:space="preserve">Develop and </w:t>
      </w:r>
      <w:r w:rsidR="003A3C6B" w:rsidRPr="00C118CB">
        <w:rPr>
          <w:b/>
        </w:rPr>
        <w:t>s</w:t>
      </w:r>
      <w:r w:rsidRPr="00C118CB">
        <w:rPr>
          <w:b/>
        </w:rPr>
        <w:t>upport communication</w:t>
      </w:r>
      <w:r>
        <w:t xml:space="preserve"> </w:t>
      </w:r>
      <w:r w:rsidRPr="00C118CB">
        <w:rPr>
          <w:b/>
        </w:rPr>
        <w:t>strategies and market research</w:t>
      </w:r>
      <w:r>
        <w:t>, including for take-to-market of OGC standards / OGC-compliant technologies</w:t>
      </w:r>
      <w:r w:rsidR="003A3C6B">
        <w:t xml:space="preserve"> which serve the health marketplace</w:t>
      </w:r>
    </w:p>
    <w:p w:rsidR="00F50B87" w:rsidRDefault="00C118CB" w:rsidP="00C118CB">
      <w:pPr>
        <w:pStyle w:val="ListParagraph"/>
        <w:numPr>
          <w:ilvl w:val="0"/>
          <w:numId w:val="5"/>
        </w:numPr>
        <w:tabs>
          <w:tab w:val="left" w:pos="210"/>
        </w:tabs>
        <w:spacing w:after="0" w:line="240" w:lineRule="auto"/>
      </w:pPr>
      <w:r>
        <w:rPr>
          <w:b/>
        </w:rPr>
        <w:t xml:space="preserve">   </w:t>
      </w:r>
      <w:r w:rsidR="001253C4" w:rsidRPr="00C118CB">
        <w:rPr>
          <w:b/>
        </w:rPr>
        <w:t xml:space="preserve">Support Policy, Research, </w:t>
      </w:r>
      <w:proofErr w:type="gramStart"/>
      <w:r w:rsidR="001253C4" w:rsidRPr="00C118CB">
        <w:rPr>
          <w:b/>
        </w:rPr>
        <w:t>Education</w:t>
      </w:r>
      <w:proofErr w:type="gramEnd"/>
      <w:r w:rsidR="001253C4">
        <w:t xml:space="preserve"> – </w:t>
      </w:r>
      <w:r w:rsidR="003A3C6B">
        <w:t xml:space="preserve">e.g. </w:t>
      </w:r>
      <w:r w:rsidR="001253C4">
        <w:t>support development of policy, research, best practices, and education in the use of open mapping standards to monitor trends and changes in public health</w:t>
      </w:r>
      <w:r w:rsidR="003A3C6B">
        <w:t xml:space="preserve">, </w:t>
      </w:r>
      <w:r w:rsidR="00F50B87">
        <w:t xml:space="preserve">for </w:t>
      </w:r>
      <w:r w:rsidR="003A3C6B">
        <w:t xml:space="preserve">risk </w:t>
      </w:r>
      <w:r w:rsidR="00F50B87">
        <w:t xml:space="preserve">identification, </w:t>
      </w:r>
      <w:r w:rsidR="003A3C6B">
        <w:t xml:space="preserve">communication, </w:t>
      </w:r>
      <w:r w:rsidR="00F50B87">
        <w:t xml:space="preserve">and disease </w:t>
      </w:r>
      <w:r w:rsidR="003A3C6B">
        <w:t>prevention.</w:t>
      </w:r>
      <w:r>
        <w:t xml:space="preserve"> </w:t>
      </w:r>
    </w:p>
    <w:p w:rsidR="001253C4" w:rsidRDefault="00C118CB" w:rsidP="00C118CB">
      <w:pPr>
        <w:pStyle w:val="ListParagraph"/>
        <w:numPr>
          <w:ilvl w:val="0"/>
          <w:numId w:val="5"/>
        </w:numPr>
        <w:tabs>
          <w:tab w:val="left" w:pos="210"/>
        </w:tabs>
        <w:spacing w:after="0" w:line="240" w:lineRule="auto"/>
      </w:pPr>
      <w:r>
        <w:rPr>
          <w:b/>
        </w:rPr>
        <w:t xml:space="preserve">   Support </w:t>
      </w:r>
      <w:r w:rsidR="001253C4" w:rsidRPr="00C118CB">
        <w:rPr>
          <w:b/>
        </w:rPr>
        <w:t>Cross-Border Surveillance</w:t>
      </w:r>
      <w:r>
        <w:rPr>
          <w:b/>
        </w:rPr>
        <w:t xml:space="preserve"> initiatives</w:t>
      </w:r>
      <w:r w:rsidR="001253C4">
        <w:t xml:space="preserve"> – </w:t>
      </w:r>
      <w:r w:rsidR="003A3C6B">
        <w:t xml:space="preserve">e.g. support </w:t>
      </w:r>
      <w:r w:rsidR="001253C4">
        <w:t>modeling,</w:t>
      </w:r>
      <w:r w:rsidR="003A3C6B">
        <w:t xml:space="preserve"> exercising, </w:t>
      </w:r>
      <w:r w:rsidR="001253C4">
        <w:t>responding to cross-border health risks</w:t>
      </w:r>
    </w:p>
    <w:p w:rsidR="00DA69D7" w:rsidRPr="00A50053" w:rsidRDefault="00C118CB" w:rsidP="00C118CB">
      <w:pPr>
        <w:pStyle w:val="ListParagraph"/>
        <w:numPr>
          <w:ilvl w:val="0"/>
          <w:numId w:val="5"/>
        </w:numPr>
        <w:spacing w:after="0" w:line="240" w:lineRule="auto"/>
      </w:pPr>
      <w:r w:rsidRPr="00A50053">
        <w:rPr>
          <w:b/>
        </w:rPr>
        <w:t>Advance best practices for v</w:t>
      </w:r>
      <w:r w:rsidR="006A718F" w:rsidRPr="00A50053">
        <w:rPr>
          <w:b/>
        </w:rPr>
        <w:t xml:space="preserve">isualization of </w:t>
      </w:r>
      <w:r w:rsidR="00E820F3" w:rsidRPr="00A50053">
        <w:rPr>
          <w:b/>
        </w:rPr>
        <w:t xml:space="preserve">Chronic and Infectious </w:t>
      </w:r>
      <w:r w:rsidR="00DA69D7" w:rsidRPr="00A50053">
        <w:rPr>
          <w:b/>
        </w:rPr>
        <w:t>Diseases</w:t>
      </w:r>
      <w:r w:rsidRPr="00A50053">
        <w:rPr>
          <w:b/>
        </w:rPr>
        <w:t xml:space="preserve"> using open mapping standards </w:t>
      </w:r>
      <w:r w:rsidR="001F6CB6" w:rsidRPr="00A50053">
        <w:t xml:space="preserve">– </w:t>
      </w:r>
      <w:r w:rsidR="003A3C6B" w:rsidRPr="00A50053">
        <w:t xml:space="preserve">e.g. </w:t>
      </w:r>
      <w:r w:rsidR="00A50053" w:rsidRPr="00A50053">
        <w:t xml:space="preserve">to </w:t>
      </w:r>
      <w:r w:rsidR="003A3C6B" w:rsidRPr="00A50053">
        <w:t xml:space="preserve">support </w:t>
      </w:r>
      <w:r w:rsidR="001F6CB6" w:rsidRPr="00A50053">
        <w:t>epidemiology, surveillance, control, treatment</w:t>
      </w:r>
      <w:r w:rsidR="003A3C6B" w:rsidRPr="00A50053">
        <w:t xml:space="preserve">, </w:t>
      </w:r>
      <w:r w:rsidR="001253C4" w:rsidRPr="00A50053">
        <w:t>prevention</w:t>
      </w:r>
      <w:r w:rsidR="003A3C6B" w:rsidRPr="00A50053">
        <w:t>, and education</w:t>
      </w:r>
      <w:r w:rsidR="00A50053" w:rsidRPr="00A50053">
        <w:t xml:space="preserve"> activities</w:t>
      </w:r>
    </w:p>
    <w:p w:rsidR="00006418" w:rsidRDefault="00C118CB" w:rsidP="00C118CB">
      <w:pPr>
        <w:pStyle w:val="ListParagraph"/>
        <w:numPr>
          <w:ilvl w:val="0"/>
          <w:numId w:val="5"/>
        </w:numPr>
        <w:spacing w:after="0" w:line="240" w:lineRule="auto"/>
      </w:pPr>
      <w:r>
        <w:rPr>
          <w:b/>
        </w:rPr>
        <w:t xml:space="preserve">Advance best practices for </w:t>
      </w:r>
      <w:r w:rsidR="00DA69D7" w:rsidRPr="00C118CB">
        <w:rPr>
          <w:b/>
        </w:rPr>
        <w:t>Public Health</w:t>
      </w:r>
      <w:r w:rsidR="006B5419" w:rsidRPr="00C118CB">
        <w:rPr>
          <w:b/>
        </w:rPr>
        <w:t xml:space="preserve"> Management and</w:t>
      </w:r>
      <w:r w:rsidR="00DA69D7" w:rsidRPr="00C118CB">
        <w:rPr>
          <w:b/>
        </w:rPr>
        <w:t xml:space="preserve"> </w:t>
      </w:r>
      <w:r>
        <w:rPr>
          <w:b/>
        </w:rPr>
        <w:t>Cost Reduction</w:t>
      </w:r>
      <w:r w:rsidR="001F6CB6">
        <w:t xml:space="preserve"> </w:t>
      </w:r>
      <w:r>
        <w:rPr>
          <w:b/>
        </w:rPr>
        <w:t xml:space="preserve">using open mapping standards </w:t>
      </w:r>
      <w:r w:rsidR="001F6CB6">
        <w:t xml:space="preserve">– </w:t>
      </w:r>
      <w:r w:rsidR="000C27EF">
        <w:t xml:space="preserve">e.g. </w:t>
      </w:r>
      <w:r w:rsidR="00A50053">
        <w:t xml:space="preserve">to </w:t>
      </w:r>
      <w:r w:rsidR="001F6CB6">
        <w:t>support resource allocation for health emergencies</w:t>
      </w:r>
      <w:r w:rsidR="006B5419">
        <w:t>, to protect vulnerable populations, and in response to changing geo-demographics (e.g. older populations with higher prevalence of chronic respiratory illness</w:t>
      </w:r>
      <w:r w:rsidR="00A50053">
        <w:t>, diabetes, and cancer</w:t>
      </w:r>
      <w:r w:rsidR="006B5419">
        <w:t>, among others).</w:t>
      </w:r>
    </w:p>
    <w:p w:rsidR="00DA69D7" w:rsidRDefault="00C118CB" w:rsidP="00C118CB">
      <w:pPr>
        <w:pStyle w:val="ListParagraph"/>
        <w:numPr>
          <w:ilvl w:val="0"/>
          <w:numId w:val="5"/>
        </w:numPr>
        <w:spacing w:after="0" w:line="240" w:lineRule="auto"/>
      </w:pPr>
      <w:r>
        <w:rPr>
          <w:b/>
        </w:rPr>
        <w:lastRenderedPageBreak/>
        <w:t>Advance best practices for Adapting to Climate Change</w:t>
      </w:r>
      <w:r w:rsidR="000C27EF" w:rsidRPr="00C118CB">
        <w:rPr>
          <w:b/>
        </w:rPr>
        <w:t xml:space="preserve"> </w:t>
      </w:r>
      <w:r w:rsidR="00DA69D7" w:rsidRPr="00C118CB">
        <w:rPr>
          <w:b/>
        </w:rPr>
        <w:t>Impacts</w:t>
      </w:r>
      <w:r>
        <w:rPr>
          <w:b/>
        </w:rPr>
        <w:t xml:space="preserve"> </w:t>
      </w:r>
      <w:r w:rsidR="00A50053">
        <w:rPr>
          <w:b/>
        </w:rPr>
        <w:t>to</w:t>
      </w:r>
      <w:r>
        <w:rPr>
          <w:b/>
        </w:rPr>
        <w:t xml:space="preserve"> Public Health</w:t>
      </w:r>
      <w:r w:rsidR="001F6CB6">
        <w:t xml:space="preserve"> </w:t>
      </w:r>
      <w:r w:rsidR="003E240E" w:rsidRPr="009F459A">
        <w:rPr>
          <w:b/>
        </w:rPr>
        <w:t xml:space="preserve">using open mapping standards </w:t>
      </w:r>
      <w:r w:rsidR="001F6CB6" w:rsidRPr="009F459A">
        <w:t>–</w:t>
      </w:r>
      <w:r w:rsidR="001F6CB6">
        <w:t xml:space="preserve"> </w:t>
      </w:r>
      <w:r w:rsidR="003A3C6B">
        <w:t xml:space="preserve">e.g. </w:t>
      </w:r>
      <w:r w:rsidR="00A50053">
        <w:t xml:space="preserve">to </w:t>
      </w:r>
      <w:r w:rsidR="003A3C6B">
        <w:t xml:space="preserve">support </w:t>
      </w:r>
      <w:r w:rsidR="001F6CB6">
        <w:t xml:space="preserve">modeling of climate impacts on public health, risk </w:t>
      </w:r>
      <w:r w:rsidR="00A50053">
        <w:t xml:space="preserve">assessment and </w:t>
      </w:r>
      <w:r w:rsidR="001F6CB6">
        <w:t>reduction</w:t>
      </w:r>
      <w:r w:rsidR="00116378">
        <w:t xml:space="preserve"> (e.g. to heat events,</w:t>
      </w:r>
      <w:r w:rsidR="00A1606D">
        <w:t xml:space="preserve"> reduced air quality, vector borne disease,</w:t>
      </w:r>
      <w:r w:rsidR="00116378">
        <w:t xml:space="preserve"> floods, drought, fire, extreme weather</w:t>
      </w:r>
      <w:r w:rsidR="00A1606D">
        <w:t>, changes in food production and water quality, social impacts of displacement and exposure of vulnerable populations</w:t>
      </w:r>
      <w:r w:rsidR="00116378">
        <w:t>)</w:t>
      </w:r>
      <w:r w:rsidR="00A1606D">
        <w:t xml:space="preserve">.  </w:t>
      </w:r>
      <w:r w:rsidR="001253C4">
        <w:t xml:space="preserve">This includes </w:t>
      </w:r>
      <w:r w:rsidR="001253C4" w:rsidRPr="006B5419">
        <w:t>supporting</w:t>
      </w:r>
      <w:r w:rsidR="006B5419">
        <w:t xml:space="preserve"> </w:t>
      </w:r>
      <w:r>
        <w:t xml:space="preserve">efforts to standardize interoperable interfaces for </w:t>
      </w:r>
      <w:r w:rsidR="001253C4">
        <w:t xml:space="preserve">health and climate models at a scale appropriate to decision making (regional and temporal) while protecting privacy of personal health information.  </w:t>
      </w:r>
      <w:r>
        <w:t>Some c</w:t>
      </w:r>
      <w:r w:rsidR="00A1606D">
        <w:t xml:space="preserve">limate sensitive diseases include: </w:t>
      </w:r>
      <w:r>
        <w:t xml:space="preserve">chronic </w:t>
      </w:r>
      <w:r w:rsidR="00A1606D">
        <w:t>respiratory</w:t>
      </w:r>
      <w:r>
        <w:t xml:space="preserve"> illness</w:t>
      </w:r>
      <w:r w:rsidR="00A1606D">
        <w:t xml:space="preserve">, such as </w:t>
      </w:r>
      <w:r w:rsidR="001253C4">
        <w:t xml:space="preserve">asthma, chronic bronchitis, </w:t>
      </w:r>
      <w:r>
        <w:t xml:space="preserve">and communicable </w:t>
      </w:r>
      <w:r w:rsidR="00A1606D">
        <w:t xml:space="preserve">influenza; </w:t>
      </w:r>
      <w:r w:rsidR="001253C4">
        <w:t xml:space="preserve">as well as other infectious diseases like </w:t>
      </w:r>
      <w:r w:rsidR="00A50053">
        <w:t>West Nile Virus, cholera,</w:t>
      </w:r>
      <w:r w:rsidR="00A1606D">
        <w:t xml:space="preserve"> malaria; meningococcal meningitis, dengue </w:t>
      </w:r>
      <w:r>
        <w:t>hemorrhagic</w:t>
      </w:r>
      <w:r w:rsidR="00A1606D">
        <w:t xml:space="preserve"> fever, </w:t>
      </w:r>
      <w:r>
        <w:t>encephalitis</w:t>
      </w:r>
      <w:r w:rsidR="00A1606D">
        <w:t xml:space="preserve">, </w:t>
      </w:r>
      <w:r>
        <w:t xml:space="preserve">rift valley fever, </w:t>
      </w:r>
      <w:r w:rsidR="006A718F">
        <w:t>Yellow fever</w:t>
      </w:r>
      <w:r>
        <w:t>.</w:t>
      </w:r>
    </w:p>
    <w:p w:rsidR="00DA7763" w:rsidRDefault="00DA7763" w:rsidP="00DF1F4E">
      <w:pPr>
        <w:pStyle w:val="Heading2"/>
      </w:pPr>
      <w:r>
        <w:t>Additional Resources</w:t>
      </w:r>
    </w:p>
    <w:p w:rsidR="00DB1556" w:rsidRPr="00DF1F4E" w:rsidRDefault="00BF4DC0" w:rsidP="00DF1F4E">
      <w:pPr>
        <w:pStyle w:val="ListParagraph"/>
        <w:numPr>
          <w:ilvl w:val="0"/>
          <w:numId w:val="4"/>
        </w:numPr>
        <w:spacing w:after="0" w:line="240" w:lineRule="auto"/>
        <w:rPr>
          <w:color w:val="1F497D"/>
        </w:rPr>
      </w:pPr>
      <w:bookmarkStart w:id="0" w:name="_GoBack"/>
      <w:bookmarkEnd w:id="0"/>
      <w:r w:rsidRPr="00C51D79">
        <w:rPr>
          <w:b/>
        </w:rPr>
        <w:t>S</w:t>
      </w:r>
      <w:r w:rsidRPr="006B5419">
        <w:rPr>
          <w:b/>
        </w:rPr>
        <w:t>erving Public Health through Open Health Mapping Services</w:t>
      </w:r>
      <w:r w:rsidRPr="00BF4DC0">
        <w:t xml:space="preserve">, </w:t>
      </w:r>
      <w:proofErr w:type="spellStart"/>
      <w:r w:rsidR="00A44B8E" w:rsidRPr="00BF4DC0">
        <w:t>GovFuture</w:t>
      </w:r>
      <w:proofErr w:type="spellEnd"/>
      <w:r w:rsidR="00A44B8E" w:rsidRPr="00BF4DC0">
        <w:t xml:space="preserve"> webinar</w:t>
      </w:r>
      <w:r w:rsidR="00B45B3D" w:rsidRPr="00BF4DC0">
        <w:t xml:space="preserve">: </w:t>
      </w:r>
      <w:hyperlink r:id="rId8" w:history="1">
        <w:r w:rsidRPr="00BF4DC0">
          <w:rPr>
            <w:rStyle w:val="Hyperlink"/>
          </w:rPr>
          <w:t>https://www2.gotomeeting.com/register/803074466</w:t>
        </w:r>
      </w:hyperlink>
      <w:r w:rsidRPr="00BF4DC0">
        <w:t xml:space="preserve"> (recording)</w:t>
      </w:r>
      <w:r w:rsidR="00DB1556" w:rsidRPr="00DF1F4E">
        <w:rPr>
          <w:color w:val="1F497D"/>
        </w:rPr>
        <w:t xml:space="preserve">  </w:t>
      </w:r>
      <w:r w:rsidR="00DB1556" w:rsidRPr="00DB1556">
        <w:t>This included a presentation on the implementation of OGC WMS, WFS, WPS, and Health XML Schema, for use/applications for</w:t>
      </w:r>
      <w:r w:rsidR="00DB1556">
        <w:t xml:space="preserve"> cross-border</w:t>
      </w:r>
      <w:r w:rsidR="00DB1556" w:rsidRPr="00DB1556">
        <w:t xml:space="preserve"> </w:t>
      </w:r>
      <w:r w:rsidR="003A3C6B">
        <w:t xml:space="preserve">influenza </w:t>
      </w:r>
      <w:r w:rsidR="00DB1556" w:rsidRPr="00DB1556">
        <w:t>pandemic, chronic respiratory illness, environmental and community programs.</w:t>
      </w:r>
      <w:r w:rsidR="00DB1556" w:rsidRPr="00DF1F4E">
        <w:rPr>
          <w:color w:val="1F497D"/>
        </w:rPr>
        <w:t xml:space="preserve">  </w:t>
      </w:r>
    </w:p>
    <w:p w:rsidR="00DA7763" w:rsidRPr="00BF4DC0" w:rsidRDefault="006B5419" w:rsidP="00DF1F4E">
      <w:pPr>
        <w:pStyle w:val="ListParagraph"/>
        <w:numPr>
          <w:ilvl w:val="0"/>
          <w:numId w:val="4"/>
        </w:numPr>
        <w:spacing w:after="0" w:line="240" w:lineRule="auto"/>
      </w:pPr>
      <w:r w:rsidRPr="003A3C6B">
        <w:rPr>
          <w:b/>
        </w:rPr>
        <w:t>Mapping for our health,</w:t>
      </w:r>
      <w:r>
        <w:t xml:space="preserve"> by Eddie Oldfield - a</w:t>
      </w:r>
      <w:r w:rsidR="00A44B8E" w:rsidRPr="00BF4DC0">
        <w:t>rticle</w:t>
      </w:r>
      <w:r>
        <w:t xml:space="preserve"> in Colleen Young Health Communications Blog </w:t>
      </w:r>
      <w:hyperlink r:id="rId9" w:history="1">
        <w:r w:rsidR="00BF4DC0" w:rsidRPr="00BF4DC0">
          <w:rPr>
            <w:rStyle w:val="Hyperlink"/>
          </w:rPr>
          <w:t>http://cyhealthcommunications.wordpress.com/2012/09/23/mapping-for-our-health/</w:t>
        </w:r>
      </w:hyperlink>
      <w:r w:rsidR="00BF4DC0" w:rsidRPr="00BF4DC0">
        <w:t xml:space="preserve"> </w:t>
      </w:r>
      <w:r>
        <w:br/>
        <w:t xml:space="preserve">Colleen Young, host of this blog supports a Canadian Health Care Social Media network and regular ‘tweet-ups’ or moderated chats online using </w:t>
      </w:r>
      <w:proofErr w:type="spellStart"/>
      <w:r>
        <w:t>hashtag</w:t>
      </w:r>
      <w:proofErr w:type="spellEnd"/>
      <w:r>
        <w:t xml:space="preserve"> #</w:t>
      </w:r>
      <w:proofErr w:type="spellStart"/>
      <w:r>
        <w:t>hcsmca</w:t>
      </w:r>
      <w:proofErr w:type="spellEnd"/>
      <w:r>
        <w:t xml:space="preserve">. </w:t>
      </w:r>
    </w:p>
    <w:p w:rsidR="00DA7763" w:rsidRPr="006B5419" w:rsidRDefault="00BF4DC0" w:rsidP="006B5419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3A3C6B">
        <w:rPr>
          <w:b/>
        </w:rPr>
        <w:t>Towards Web-based representation and processing of health information</w:t>
      </w:r>
      <w:r w:rsidR="006B5419">
        <w:rPr>
          <w:b/>
        </w:rPr>
        <w:br/>
      </w:r>
      <w:r w:rsidRPr="006B5419">
        <w:rPr>
          <w:rStyle w:val="Strong"/>
          <w:b w:val="0"/>
        </w:rPr>
        <w:t>Sheng Gao</w:t>
      </w:r>
      <w:hyperlink r:id="rId10" w:anchor="ins1" w:history="1">
        <w:r w:rsidRPr="006B5419">
          <w:rPr>
            <w:rStyle w:val="Hyperlink"/>
            <w:b/>
            <w:vertAlign w:val="superscript"/>
          </w:rPr>
          <w:t>1</w:t>
        </w:r>
      </w:hyperlink>
      <w:r w:rsidRPr="006B5419">
        <w:rPr>
          <w:b/>
          <w:vertAlign w:val="superscript"/>
        </w:rPr>
        <w:t>*</w:t>
      </w:r>
      <w:r w:rsidRPr="006B5419">
        <w:rPr>
          <w:b/>
        </w:rPr>
        <w:t xml:space="preserve">, </w:t>
      </w:r>
      <w:proofErr w:type="spellStart"/>
      <w:r w:rsidRPr="006B5419">
        <w:rPr>
          <w:rStyle w:val="Strong"/>
          <w:b w:val="0"/>
        </w:rPr>
        <w:t>Darka</w:t>
      </w:r>
      <w:proofErr w:type="spellEnd"/>
      <w:r w:rsidRPr="006B5419">
        <w:rPr>
          <w:rStyle w:val="Strong"/>
          <w:b w:val="0"/>
        </w:rPr>
        <w:t xml:space="preserve"> Mioc</w:t>
      </w:r>
      <w:hyperlink r:id="rId11" w:anchor="ins1" w:history="1">
        <w:r w:rsidRPr="006B5419">
          <w:rPr>
            <w:rStyle w:val="Hyperlink"/>
            <w:b/>
            <w:vertAlign w:val="superscript"/>
          </w:rPr>
          <w:t>1</w:t>
        </w:r>
      </w:hyperlink>
      <w:r w:rsidRPr="006B5419">
        <w:rPr>
          <w:b/>
        </w:rPr>
        <w:t xml:space="preserve">, </w:t>
      </w:r>
      <w:r w:rsidRPr="006B5419">
        <w:rPr>
          <w:rStyle w:val="Strong"/>
          <w:b w:val="0"/>
        </w:rPr>
        <w:t>Xiaolun Yi</w:t>
      </w:r>
      <w:hyperlink r:id="rId12" w:anchor="ins2" w:history="1">
        <w:r w:rsidRPr="006B5419">
          <w:rPr>
            <w:rStyle w:val="Hyperlink"/>
            <w:b/>
            <w:vertAlign w:val="superscript"/>
          </w:rPr>
          <w:t>2</w:t>
        </w:r>
      </w:hyperlink>
      <w:r w:rsidRPr="006B5419">
        <w:rPr>
          <w:b/>
        </w:rPr>
        <w:t xml:space="preserve">, </w:t>
      </w:r>
      <w:r w:rsidRPr="006B5419">
        <w:rPr>
          <w:rStyle w:val="Strong"/>
          <w:b w:val="0"/>
        </w:rPr>
        <w:t>Francois Anton</w:t>
      </w:r>
      <w:hyperlink r:id="rId13" w:anchor="ins3" w:history="1">
        <w:r w:rsidRPr="006B5419">
          <w:rPr>
            <w:rStyle w:val="Hyperlink"/>
            <w:b/>
            <w:vertAlign w:val="superscript"/>
          </w:rPr>
          <w:t>3</w:t>
        </w:r>
      </w:hyperlink>
      <w:r w:rsidRPr="006B5419">
        <w:rPr>
          <w:b/>
        </w:rPr>
        <w:t xml:space="preserve">, </w:t>
      </w:r>
      <w:r w:rsidRPr="006B5419">
        <w:rPr>
          <w:rStyle w:val="Strong"/>
          <w:b w:val="0"/>
        </w:rPr>
        <w:t>Eddie Oldfield</w:t>
      </w:r>
      <w:hyperlink r:id="rId14" w:anchor="ins4" w:history="1">
        <w:r w:rsidRPr="006B5419">
          <w:rPr>
            <w:rStyle w:val="Hyperlink"/>
            <w:b/>
            <w:vertAlign w:val="superscript"/>
          </w:rPr>
          <w:t>4</w:t>
        </w:r>
      </w:hyperlink>
      <w:r w:rsidRPr="006B5419">
        <w:rPr>
          <w:b/>
        </w:rPr>
        <w:t xml:space="preserve"> and </w:t>
      </w:r>
      <w:r w:rsidRPr="006B5419">
        <w:rPr>
          <w:rStyle w:val="Strong"/>
          <w:b w:val="0"/>
        </w:rPr>
        <w:t>David J Coleman</w:t>
      </w:r>
      <w:hyperlink r:id="rId15" w:anchor="ins1" w:history="1">
        <w:r w:rsidRPr="006B5419">
          <w:rPr>
            <w:rStyle w:val="Hyperlink"/>
            <w:b/>
            <w:vertAlign w:val="superscript"/>
          </w:rPr>
          <w:t>1</w:t>
        </w:r>
      </w:hyperlink>
      <w:r w:rsidRPr="006B5419">
        <w:rPr>
          <w:b/>
        </w:rPr>
        <w:t xml:space="preserve"> </w:t>
      </w:r>
      <w:hyperlink r:id="rId16" w:history="1">
        <w:r w:rsidRPr="00BF4DC0">
          <w:rPr>
            <w:rStyle w:val="Hyperlink"/>
          </w:rPr>
          <w:t>http://www.ij-healthgeographics.com/content/8/1/3</w:t>
        </w:r>
      </w:hyperlink>
      <w:r w:rsidRPr="00BF4DC0">
        <w:t xml:space="preserve"> </w:t>
      </w:r>
      <w:r w:rsidR="006B5419">
        <w:t xml:space="preserve">International Journal of Health </w:t>
      </w:r>
      <w:proofErr w:type="spellStart"/>
      <w:r w:rsidR="006B5419">
        <w:t>Geographics</w:t>
      </w:r>
      <w:proofErr w:type="spellEnd"/>
    </w:p>
    <w:p w:rsidR="00BF4DC0" w:rsidRDefault="00DB1556" w:rsidP="00DF1F4E">
      <w:pPr>
        <w:pStyle w:val="ListParagraph"/>
        <w:numPr>
          <w:ilvl w:val="0"/>
          <w:numId w:val="4"/>
        </w:numPr>
        <w:spacing w:after="0" w:line="240" w:lineRule="auto"/>
      </w:pPr>
      <w:r w:rsidRPr="003A3C6B">
        <w:rPr>
          <w:b/>
        </w:rPr>
        <w:t xml:space="preserve">The </w:t>
      </w:r>
      <w:r w:rsidR="00BF4DC0" w:rsidRPr="003A3C6B">
        <w:rPr>
          <w:b/>
        </w:rPr>
        <w:t>C</w:t>
      </w:r>
      <w:r w:rsidRPr="003A3C6B">
        <w:rPr>
          <w:b/>
        </w:rPr>
        <w:t xml:space="preserve">anadian </w:t>
      </w:r>
      <w:r w:rsidR="00BF4DC0" w:rsidRPr="003A3C6B">
        <w:rPr>
          <w:b/>
        </w:rPr>
        <w:t>G</w:t>
      </w:r>
      <w:r w:rsidRPr="003A3C6B">
        <w:rPr>
          <w:b/>
        </w:rPr>
        <w:t xml:space="preserve">eospatial </w:t>
      </w:r>
      <w:r w:rsidR="00BF4DC0" w:rsidRPr="003A3C6B">
        <w:rPr>
          <w:b/>
        </w:rPr>
        <w:t>D</w:t>
      </w:r>
      <w:r w:rsidRPr="003A3C6B">
        <w:rPr>
          <w:b/>
        </w:rPr>
        <w:t xml:space="preserve">ata </w:t>
      </w:r>
      <w:r w:rsidR="00BF4DC0" w:rsidRPr="003A3C6B">
        <w:rPr>
          <w:b/>
        </w:rPr>
        <w:t>I</w:t>
      </w:r>
      <w:r w:rsidRPr="003A3C6B">
        <w:rPr>
          <w:b/>
        </w:rPr>
        <w:t>nfrastructure</w:t>
      </w:r>
      <w:r w:rsidR="00BF4DC0" w:rsidRPr="003A3C6B">
        <w:rPr>
          <w:b/>
        </w:rPr>
        <w:t xml:space="preserve"> and P</w:t>
      </w:r>
      <w:r w:rsidRPr="003A3C6B">
        <w:rPr>
          <w:b/>
        </w:rPr>
        <w:t xml:space="preserve">ublic </w:t>
      </w:r>
      <w:r w:rsidR="00BF4DC0" w:rsidRPr="003A3C6B">
        <w:rPr>
          <w:b/>
        </w:rPr>
        <w:t>H</w:t>
      </w:r>
      <w:r w:rsidRPr="003A3C6B">
        <w:rPr>
          <w:b/>
        </w:rPr>
        <w:t>ealth</w:t>
      </w:r>
      <w:r w:rsidR="00BF4DC0" w:rsidRPr="003A3C6B">
        <w:rPr>
          <w:b/>
        </w:rPr>
        <w:t>:</w:t>
      </w:r>
      <w:r w:rsidR="00BF4DC0">
        <w:t xml:space="preserve"> </w:t>
      </w:r>
      <w:hyperlink r:id="rId17" w:history="1">
        <w:r w:rsidR="00BF4DC0" w:rsidRPr="00BB4C03">
          <w:rPr>
            <w:rStyle w:val="Hyperlink"/>
          </w:rPr>
          <w:t>http://ow.ly/d/goa</w:t>
        </w:r>
      </w:hyperlink>
      <w:r w:rsidR="006B5419">
        <w:t xml:space="preserve"> </w:t>
      </w:r>
      <w:proofErr w:type="gramStart"/>
      <w:r w:rsidR="006B5419">
        <w:t>A</w:t>
      </w:r>
      <w:proofErr w:type="gramEnd"/>
      <w:r w:rsidR="006B5419">
        <w:t xml:space="preserve"> report commissioned by </w:t>
      </w:r>
      <w:proofErr w:type="spellStart"/>
      <w:r w:rsidR="006B5419">
        <w:t>GeoConnections</w:t>
      </w:r>
      <w:proofErr w:type="spellEnd"/>
      <w:r w:rsidR="006B5419">
        <w:t>, Natural Resources Canada.</w:t>
      </w:r>
    </w:p>
    <w:p w:rsidR="00006418" w:rsidRDefault="00006418" w:rsidP="00DF1F4E">
      <w:pPr>
        <w:pStyle w:val="Heading2"/>
      </w:pPr>
      <w:r>
        <w:t xml:space="preserve">Pertinent </w:t>
      </w:r>
      <w:r w:rsidR="00116378">
        <w:t>OGC Standards</w:t>
      </w:r>
    </w:p>
    <w:p w:rsidR="00116378" w:rsidRDefault="00F50B87">
      <w:r>
        <w:t>Many existing OGC standards may</w:t>
      </w:r>
      <w:r w:rsidR="00DF1F4E">
        <w:t xml:space="preserve"> support public health </w:t>
      </w:r>
      <w:r>
        <w:t>users</w:t>
      </w:r>
      <w:r w:rsidR="00DF1F4E">
        <w:t xml:space="preserve">, such as </w:t>
      </w:r>
      <w:r w:rsidR="00116378">
        <w:t>GML, WMS, WFS, WPS, WCS, SLD, WXXM</w:t>
      </w:r>
      <w:r w:rsidR="00DF1F4E">
        <w:t xml:space="preserve">, </w:t>
      </w:r>
      <w:r w:rsidR="00116378">
        <w:t xml:space="preserve">SWE, </w:t>
      </w:r>
      <w:proofErr w:type="spellStart"/>
      <w:r w:rsidR="00116378">
        <w:t>CityGML</w:t>
      </w:r>
      <w:proofErr w:type="spellEnd"/>
      <w:r>
        <w:t>, to name a few</w:t>
      </w:r>
      <w:r w:rsidR="00DF1F4E">
        <w:t xml:space="preserve">.  In addition, a Health Domain Working Group would assimilate inputs for new encodings, interfaces, </w:t>
      </w:r>
      <w:r>
        <w:t xml:space="preserve">applications </w:t>
      </w:r>
      <w:r w:rsidR="00DF1F4E">
        <w:t xml:space="preserve">and </w:t>
      </w:r>
      <w:r>
        <w:t xml:space="preserve">extensions to geospatial </w:t>
      </w:r>
      <w:r w:rsidR="00DF1F4E">
        <w:t>standards serving the marketplace.</w:t>
      </w:r>
      <w:r w:rsidRPr="00F50B87">
        <w:t xml:space="preserve"> </w:t>
      </w:r>
    </w:p>
    <w:p w:rsidR="00006418" w:rsidRDefault="00C118CB" w:rsidP="00DF1F4E">
      <w:pPr>
        <w:pStyle w:val="Heading2"/>
      </w:pPr>
      <w:r>
        <w:t xml:space="preserve">Pertinent OGC Partners, </w:t>
      </w:r>
      <w:r w:rsidR="00006418">
        <w:t>Members</w:t>
      </w:r>
      <w:r>
        <w:t>, Alliances</w:t>
      </w:r>
      <w:r w:rsidR="00C51D79">
        <w:t>, and SWGs</w:t>
      </w:r>
    </w:p>
    <w:p w:rsidR="009F459A" w:rsidRPr="001253C4" w:rsidRDefault="003A3C6B" w:rsidP="009F459A">
      <w:pPr>
        <w:spacing w:after="0" w:line="240" w:lineRule="auto"/>
      </w:pPr>
      <w:r>
        <w:t>To be identified</w:t>
      </w:r>
      <w:r w:rsidR="00C51D79">
        <w:t>. Consult OGC</w:t>
      </w:r>
      <w:r w:rsidR="00A44B8E">
        <w:t xml:space="preserve"> website</w:t>
      </w:r>
      <w:r w:rsidR="00DB1556">
        <w:t xml:space="preserve">: </w:t>
      </w:r>
      <w:hyperlink r:id="rId18" w:history="1">
        <w:r w:rsidR="009F459A" w:rsidRPr="009F459A">
          <w:rPr>
            <w:rStyle w:val="Hyperlink"/>
          </w:rPr>
          <w:t>www.opengeospatial.org</w:t>
        </w:r>
      </w:hyperlink>
      <w:r w:rsidR="009F459A" w:rsidRPr="009F45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9F459A" w:rsidRPr="009F459A">
        <w:rPr>
          <w:rFonts w:ascii="Calibri" w:eastAsia="Times New Roman" w:hAnsi="Calibri"/>
          <w:szCs w:val="24"/>
        </w:rPr>
        <w:t>It</w:t>
      </w:r>
      <w:proofErr w:type="gramEnd"/>
      <w:r w:rsidR="009F459A" w:rsidRPr="009F459A">
        <w:rPr>
          <w:rFonts w:ascii="Calibri" w:eastAsia="Times New Roman" w:hAnsi="Calibri"/>
          <w:szCs w:val="24"/>
        </w:rPr>
        <w:t xml:space="preserve"> should be noted that h</w:t>
      </w:r>
      <w:r w:rsidR="009F459A" w:rsidRPr="009F459A">
        <w:rPr>
          <w:rFonts w:ascii="Calibri" w:eastAsia="Times New Roman" w:hAnsi="Calibri"/>
          <w:color w:val="000000"/>
          <w:szCs w:val="24"/>
        </w:rPr>
        <w:t>ealth applications may crosscut with possible work activities in the Geosciences and Environment, Emergency and Disaster Management, and Law Enforcement and Public Safety Domain Working Groups.</w:t>
      </w:r>
    </w:p>
    <w:p w:rsidR="00006418" w:rsidRDefault="00006418" w:rsidP="00DF1F4E">
      <w:pPr>
        <w:pStyle w:val="Heading2"/>
      </w:pPr>
      <w:r>
        <w:t>Pertinent Non-Member Agencies</w:t>
      </w:r>
    </w:p>
    <w:p w:rsidR="00006418" w:rsidRDefault="00A50053" w:rsidP="00C51D79">
      <w:pPr>
        <w:pStyle w:val="ListParagraph"/>
        <w:numPr>
          <w:ilvl w:val="0"/>
          <w:numId w:val="3"/>
        </w:numPr>
        <w:spacing w:after="0" w:line="240" w:lineRule="auto"/>
      </w:pPr>
      <w:r>
        <w:t>World Health Organization</w:t>
      </w:r>
    </w:p>
    <w:p w:rsidR="00A44B8E" w:rsidRDefault="00116378" w:rsidP="00C51D7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National and International </w:t>
      </w:r>
      <w:r w:rsidR="00A44B8E">
        <w:t>Disease Surveillance Agencies</w:t>
      </w:r>
    </w:p>
    <w:p w:rsidR="00A44B8E" w:rsidRDefault="00A44B8E" w:rsidP="00C51D79">
      <w:pPr>
        <w:pStyle w:val="ListParagraph"/>
        <w:numPr>
          <w:ilvl w:val="0"/>
          <w:numId w:val="3"/>
        </w:numPr>
        <w:spacing w:after="0" w:line="240" w:lineRule="auto"/>
      </w:pPr>
      <w:r>
        <w:t>Health Research Institutes</w:t>
      </w:r>
    </w:p>
    <w:p w:rsidR="00A44B8E" w:rsidRDefault="00A44B8E" w:rsidP="00C51D79">
      <w:pPr>
        <w:pStyle w:val="ListParagraph"/>
        <w:numPr>
          <w:ilvl w:val="0"/>
          <w:numId w:val="3"/>
        </w:numPr>
        <w:spacing w:after="0" w:line="240" w:lineRule="auto"/>
      </w:pPr>
      <w:r>
        <w:t>Provincial/State Health Authorities</w:t>
      </w:r>
    </w:p>
    <w:p w:rsidR="00116378" w:rsidRDefault="00116378" w:rsidP="00C51D79">
      <w:pPr>
        <w:pStyle w:val="ListParagraph"/>
        <w:numPr>
          <w:ilvl w:val="0"/>
          <w:numId w:val="3"/>
        </w:numPr>
        <w:spacing w:after="0" w:line="240" w:lineRule="auto"/>
      </w:pPr>
      <w:r>
        <w:t>Health Informatics solution providers</w:t>
      </w:r>
    </w:p>
    <w:p w:rsidR="00116378" w:rsidRDefault="00116378" w:rsidP="00C51D79">
      <w:pPr>
        <w:pStyle w:val="ListParagraph"/>
        <w:numPr>
          <w:ilvl w:val="0"/>
          <w:numId w:val="3"/>
        </w:numPr>
        <w:spacing w:after="0" w:line="240" w:lineRule="auto"/>
      </w:pPr>
      <w:r>
        <w:t>Professional Health / Medical Associations</w:t>
      </w:r>
    </w:p>
    <w:p w:rsidR="00A1606D" w:rsidRDefault="00116378" w:rsidP="00C51D79">
      <w:pPr>
        <w:pStyle w:val="ListParagraph"/>
        <w:numPr>
          <w:ilvl w:val="0"/>
          <w:numId w:val="3"/>
        </w:numPr>
        <w:spacing w:after="0" w:line="240" w:lineRule="auto"/>
      </w:pPr>
      <w:r>
        <w:t>Academic Institutions, Nursing Faculty</w:t>
      </w:r>
      <w:r w:rsidR="003A3C6B">
        <w:t xml:space="preserve">, </w:t>
      </w:r>
      <w:proofErr w:type="spellStart"/>
      <w:r w:rsidR="003A3C6B">
        <w:t>Geomatics</w:t>
      </w:r>
      <w:proofErr w:type="spellEnd"/>
      <w:r w:rsidR="003A3C6B">
        <w:t xml:space="preserve"> Faculty Computer Sciences Faculty</w:t>
      </w:r>
    </w:p>
    <w:p w:rsidR="00484157" w:rsidRDefault="001253C4" w:rsidP="00484157">
      <w:pPr>
        <w:pStyle w:val="Heading2"/>
      </w:pPr>
      <w:r w:rsidRPr="006B5419">
        <w:t xml:space="preserve">Please send </w:t>
      </w:r>
      <w:r w:rsidR="00A50053">
        <w:t>Inquiries and E</w:t>
      </w:r>
      <w:r w:rsidRPr="006B5419">
        <w:t xml:space="preserve">xpressions of Interest to: </w:t>
      </w:r>
    </w:p>
    <w:p w:rsidR="00484157" w:rsidRDefault="001253C4" w:rsidP="00A50053">
      <w:pPr>
        <w:spacing w:after="0" w:line="240" w:lineRule="auto"/>
      </w:pPr>
      <w:r>
        <w:t>Eddie Oldfield, CEO, Spatial</w:t>
      </w:r>
      <w:r w:rsidR="00484157">
        <w:t xml:space="preserve"> QUEST Solutions</w:t>
      </w:r>
      <w:r w:rsidR="00A50053">
        <w:t xml:space="preserve"> </w:t>
      </w:r>
      <w:r w:rsidR="00484157">
        <w:t xml:space="preserve">               </w:t>
      </w:r>
    </w:p>
    <w:p w:rsidR="00A50053" w:rsidRPr="00484157" w:rsidRDefault="00A50053" w:rsidP="00A50053">
      <w:pPr>
        <w:spacing w:after="0" w:line="240" w:lineRule="auto"/>
      </w:pPr>
      <w:r w:rsidRPr="00484157">
        <w:t>Phone:</w:t>
      </w:r>
      <w:r>
        <w:t xml:space="preserve"> (506) 453-0887      </w:t>
      </w:r>
      <w:r w:rsidR="00484157">
        <w:t xml:space="preserve">          </w:t>
      </w:r>
      <w:r w:rsidR="00484157">
        <w:tab/>
      </w:r>
      <w:r w:rsidRPr="00484157">
        <w:t>Email:</w:t>
      </w:r>
      <w:r>
        <w:t xml:space="preserve"> </w:t>
      </w:r>
      <w:hyperlink r:id="rId19" w:history="1">
        <w:r w:rsidRPr="00BB4C03">
          <w:rPr>
            <w:rStyle w:val="Hyperlink"/>
          </w:rPr>
          <w:t>eoldfield@bellaliant.net</w:t>
        </w:r>
      </w:hyperlink>
      <w:r>
        <w:t xml:space="preserve"> </w:t>
      </w:r>
    </w:p>
    <w:p w:rsidR="00A50053" w:rsidRDefault="00A50053" w:rsidP="00A50053">
      <w:pPr>
        <w:spacing w:after="0" w:line="240" w:lineRule="auto"/>
      </w:pPr>
      <w:r w:rsidRPr="00484157">
        <w:t>Mailing Address:</w:t>
      </w:r>
      <w:r>
        <w:rPr>
          <w:b/>
        </w:rPr>
        <w:t xml:space="preserve"> </w:t>
      </w:r>
      <w:r>
        <w:t>1 Hermitage Court, Fredericton, N</w:t>
      </w:r>
      <w:r w:rsidR="00484157">
        <w:t xml:space="preserve">ew </w:t>
      </w:r>
      <w:r>
        <w:t>B</w:t>
      </w:r>
      <w:r w:rsidR="00484157">
        <w:t>runswick</w:t>
      </w:r>
      <w:r>
        <w:t>, Canada, E3B2P2</w:t>
      </w:r>
    </w:p>
    <w:p w:rsidR="00484157" w:rsidRDefault="00484157" w:rsidP="00C51D79">
      <w:pPr>
        <w:spacing w:after="0" w:line="240" w:lineRule="auto"/>
      </w:pPr>
    </w:p>
    <w:p w:rsidR="00484157" w:rsidRDefault="00A50053" w:rsidP="00C51D79">
      <w:pPr>
        <w:spacing w:after="0" w:line="240" w:lineRule="auto"/>
      </w:pPr>
      <w:r>
        <w:t>Edd</w:t>
      </w:r>
      <w:r w:rsidR="00484157">
        <w:t>ie Oldfield is a m</w:t>
      </w:r>
      <w:r>
        <w:t>ember of OGC;</w:t>
      </w:r>
      <w:r w:rsidR="00484157">
        <w:t xml:space="preserve"> </w:t>
      </w:r>
      <w:r w:rsidR="001253C4">
        <w:t>Director of NB Climate Change Hub at New Brunswick Lung Association (12 years); Appointed Member, Resilient Communities Working Group, National Platform for Disaster Risk Reduction</w:t>
      </w:r>
      <w:r w:rsidR="00484157">
        <w:t xml:space="preserve"> (Canada)</w:t>
      </w:r>
      <w:r w:rsidR="001253C4">
        <w:t>.</w:t>
      </w:r>
      <w:r w:rsidR="00484157">
        <w:t xml:space="preserve"> </w:t>
      </w:r>
    </w:p>
    <w:p w:rsidR="002F12BA" w:rsidRDefault="00484157" w:rsidP="00C51D79">
      <w:pPr>
        <w:spacing w:after="0" w:line="240" w:lineRule="auto"/>
      </w:pPr>
      <w:r>
        <w:rPr>
          <w:b/>
        </w:rPr>
        <w:t>Full b</w:t>
      </w:r>
      <w:r w:rsidR="001253C4" w:rsidRPr="006A718F">
        <w:rPr>
          <w:b/>
        </w:rPr>
        <w:t>io on LinkedIn:</w:t>
      </w:r>
      <w:r w:rsidR="001253C4" w:rsidRPr="006A718F">
        <w:t xml:space="preserve"> </w:t>
      </w:r>
      <w:hyperlink r:id="rId20" w:history="1">
        <w:r w:rsidR="001253C4" w:rsidRPr="00BB4C03">
          <w:rPr>
            <w:rStyle w:val="Hyperlink"/>
          </w:rPr>
          <w:t>http://ca.linkedin.com/pub/eddie-oldfield/1/bb9/587/</w:t>
        </w:r>
      </w:hyperlink>
    </w:p>
    <w:sectPr w:rsidR="002F12BA" w:rsidSect="009B149C">
      <w:headerReference w:type="default" r:id="rId21"/>
      <w:footerReference w:type="even" r:id="rId22"/>
      <w:pgSz w:w="12240" w:h="15840"/>
      <w:pgMar w:top="426" w:right="758" w:bottom="851" w:left="709" w:header="284" w:footer="2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9C0" w:rsidRDefault="001A29C0" w:rsidP="009B149C">
      <w:pPr>
        <w:spacing w:after="0" w:line="240" w:lineRule="auto"/>
      </w:pPr>
      <w:r>
        <w:separator/>
      </w:r>
    </w:p>
  </w:endnote>
  <w:endnote w:type="continuationSeparator" w:id="0">
    <w:p w:rsidR="001A29C0" w:rsidRDefault="001A29C0" w:rsidP="009B1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49C" w:rsidRDefault="009B149C" w:rsidP="009B149C">
    <w:pPr>
      <w:pStyle w:val="Header"/>
      <w:jc w:val="center"/>
    </w:pPr>
    <w:r>
      <w:t>OGC Document Number: 13-009</w:t>
    </w:r>
  </w:p>
  <w:p w:rsidR="009B149C" w:rsidRDefault="009B14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9C0" w:rsidRDefault="001A29C0" w:rsidP="009B149C">
      <w:pPr>
        <w:spacing w:after="0" w:line="240" w:lineRule="auto"/>
      </w:pPr>
      <w:r>
        <w:separator/>
      </w:r>
    </w:p>
  </w:footnote>
  <w:footnote w:type="continuationSeparator" w:id="0">
    <w:p w:rsidR="001A29C0" w:rsidRDefault="001A29C0" w:rsidP="009B1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49C" w:rsidRDefault="009B149C" w:rsidP="009B149C">
    <w:pPr>
      <w:pStyle w:val="Header"/>
      <w:jc w:val="center"/>
    </w:pPr>
    <w:r>
      <w:t>OGC Document Number: 13-009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B27D0"/>
    <w:multiLevelType w:val="hybridMultilevel"/>
    <w:tmpl w:val="0E9832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602F2"/>
    <w:multiLevelType w:val="hybridMultilevel"/>
    <w:tmpl w:val="616003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E26C5"/>
    <w:multiLevelType w:val="hybridMultilevel"/>
    <w:tmpl w:val="3C1C4E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359BB"/>
    <w:multiLevelType w:val="hybridMultilevel"/>
    <w:tmpl w:val="5C4AF006"/>
    <w:lvl w:ilvl="0" w:tplc="1009000F">
      <w:start w:val="1"/>
      <w:numFmt w:val="decimal"/>
      <w:lvlText w:val="%1."/>
      <w:lvlJc w:val="left"/>
      <w:pPr>
        <w:ind w:left="6" w:hanging="360"/>
      </w:pPr>
    </w:lvl>
    <w:lvl w:ilvl="1" w:tplc="10090019">
      <w:start w:val="1"/>
      <w:numFmt w:val="lowerLetter"/>
      <w:lvlText w:val="%2."/>
      <w:lvlJc w:val="left"/>
      <w:pPr>
        <w:ind w:left="726" w:hanging="360"/>
      </w:pPr>
    </w:lvl>
    <w:lvl w:ilvl="2" w:tplc="1009001B" w:tentative="1">
      <w:start w:val="1"/>
      <w:numFmt w:val="lowerRoman"/>
      <w:lvlText w:val="%3."/>
      <w:lvlJc w:val="right"/>
      <w:pPr>
        <w:ind w:left="1446" w:hanging="180"/>
      </w:pPr>
    </w:lvl>
    <w:lvl w:ilvl="3" w:tplc="1009000F" w:tentative="1">
      <w:start w:val="1"/>
      <w:numFmt w:val="decimal"/>
      <w:lvlText w:val="%4."/>
      <w:lvlJc w:val="left"/>
      <w:pPr>
        <w:ind w:left="2166" w:hanging="360"/>
      </w:pPr>
    </w:lvl>
    <w:lvl w:ilvl="4" w:tplc="10090019" w:tentative="1">
      <w:start w:val="1"/>
      <w:numFmt w:val="lowerLetter"/>
      <w:lvlText w:val="%5."/>
      <w:lvlJc w:val="left"/>
      <w:pPr>
        <w:ind w:left="2886" w:hanging="360"/>
      </w:pPr>
    </w:lvl>
    <w:lvl w:ilvl="5" w:tplc="1009001B" w:tentative="1">
      <w:start w:val="1"/>
      <w:numFmt w:val="lowerRoman"/>
      <w:lvlText w:val="%6."/>
      <w:lvlJc w:val="right"/>
      <w:pPr>
        <w:ind w:left="3606" w:hanging="180"/>
      </w:pPr>
    </w:lvl>
    <w:lvl w:ilvl="6" w:tplc="1009000F" w:tentative="1">
      <w:start w:val="1"/>
      <w:numFmt w:val="decimal"/>
      <w:lvlText w:val="%7."/>
      <w:lvlJc w:val="left"/>
      <w:pPr>
        <w:ind w:left="4326" w:hanging="360"/>
      </w:pPr>
    </w:lvl>
    <w:lvl w:ilvl="7" w:tplc="10090019" w:tentative="1">
      <w:start w:val="1"/>
      <w:numFmt w:val="lowerLetter"/>
      <w:lvlText w:val="%8."/>
      <w:lvlJc w:val="left"/>
      <w:pPr>
        <w:ind w:left="5046" w:hanging="360"/>
      </w:pPr>
    </w:lvl>
    <w:lvl w:ilvl="8" w:tplc="10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">
    <w:nsid w:val="5EB05223"/>
    <w:multiLevelType w:val="hybridMultilevel"/>
    <w:tmpl w:val="8AB824B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1E"/>
    <w:rsid w:val="00006418"/>
    <w:rsid w:val="000C27EF"/>
    <w:rsid w:val="000F5C46"/>
    <w:rsid w:val="00116378"/>
    <w:rsid w:val="001253C4"/>
    <w:rsid w:val="001A29C0"/>
    <w:rsid w:val="001F6CB6"/>
    <w:rsid w:val="002F12BA"/>
    <w:rsid w:val="003556BC"/>
    <w:rsid w:val="003A3C6B"/>
    <w:rsid w:val="003E240E"/>
    <w:rsid w:val="00401C56"/>
    <w:rsid w:val="0040551C"/>
    <w:rsid w:val="00434D15"/>
    <w:rsid w:val="004506AB"/>
    <w:rsid w:val="00484157"/>
    <w:rsid w:val="00592C70"/>
    <w:rsid w:val="006A718F"/>
    <w:rsid w:val="006B5419"/>
    <w:rsid w:val="006F7AA8"/>
    <w:rsid w:val="007164F6"/>
    <w:rsid w:val="00875937"/>
    <w:rsid w:val="008C5C1E"/>
    <w:rsid w:val="009638EE"/>
    <w:rsid w:val="009B149C"/>
    <w:rsid w:val="009F459A"/>
    <w:rsid w:val="00A1606D"/>
    <w:rsid w:val="00A430AA"/>
    <w:rsid w:val="00A44B8E"/>
    <w:rsid w:val="00A50053"/>
    <w:rsid w:val="00B27F24"/>
    <w:rsid w:val="00B45B3D"/>
    <w:rsid w:val="00BF4DC0"/>
    <w:rsid w:val="00C118CB"/>
    <w:rsid w:val="00C402DF"/>
    <w:rsid w:val="00C51D79"/>
    <w:rsid w:val="00DA69D7"/>
    <w:rsid w:val="00DA7763"/>
    <w:rsid w:val="00DB1556"/>
    <w:rsid w:val="00DF1F4E"/>
    <w:rsid w:val="00DF6A40"/>
    <w:rsid w:val="00E820F3"/>
    <w:rsid w:val="00F50B87"/>
    <w:rsid w:val="00FB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4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64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C5C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5C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0064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64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F6A4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1606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D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4D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4DC0"/>
    <w:rPr>
      <w:color w:val="800080" w:themeColor="followedHyperlink"/>
      <w:u w:val="single"/>
    </w:rPr>
  </w:style>
  <w:style w:type="paragraph" w:customStyle="1" w:styleId="authors">
    <w:name w:val="authors"/>
    <w:basedOn w:val="Normal"/>
    <w:rsid w:val="00BF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1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49C"/>
  </w:style>
  <w:style w:type="paragraph" w:styleId="Footer">
    <w:name w:val="footer"/>
    <w:basedOn w:val="Normal"/>
    <w:link w:val="FooterChar"/>
    <w:uiPriority w:val="99"/>
    <w:unhideWhenUsed/>
    <w:rsid w:val="009B1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4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4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64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C5C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5C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0064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64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F6A4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1606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D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4D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4DC0"/>
    <w:rPr>
      <w:color w:val="800080" w:themeColor="followedHyperlink"/>
      <w:u w:val="single"/>
    </w:rPr>
  </w:style>
  <w:style w:type="paragraph" w:customStyle="1" w:styleId="authors">
    <w:name w:val="authors"/>
    <w:basedOn w:val="Normal"/>
    <w:rsid w:val="00BF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1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49C"/>
  </w:style>
  <w:style w:type="paragraph" w:styleId="Footer">
    <w:name w:val="footer"/>
    <w:basedOn w:val="Normal"/>
    <w:link w:val="FooterChar"/>
    <w:uiPriority w:val="99"/>
    <w:unhideWhenUsed/>
    <w:rsid w:val="009B1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gotomeeting.com/register/803074466" TargetMode="External"/><Relationship Id="rId13" Type="http://schemas.openxmlformats.org/officeDocument/2006/relationships/hyperlink" Target="http://www.ij-healthgeographics.com/content/8/1/3/" TargetMode="External"/><Relationship Id="rId18" Type="http://schemas.openxmlformats.org/officeDocument/2006/relationships/hyperlink" Target="http://www.opengeospatial.org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j-healthgeographics.com/content/8/1/3/" TargetMode="External"/><Relationship Id="rId17" Type="http://schemas.openxmlformats.org/officeDocument/2006/relationships/hyperlink" Target="http://ow.ly/d/go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j-healthgeographics.com/content/8/1/3" TargetMode="External"/><Relationship Id="rId20" Type="http://schemas.openxmlformats.org/officeDocument/2006/relationships/hyperlink" Target="http://ca.linkedin.com/pub/eddie-oldfield/1/bb9/587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j-healthgeographics.com/content/8/1/3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j-healthgeographics.com/content/8/1/3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j-healthgeographics.com/content/8/1/3/" TargetMode="External"/><Relationship Id="rId19" Type="http://schemas.openxmlformats.org/officeDocument/2006/relationships/hyperlink" Target="mailto:eoldfield@bellalian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yhealthcommunications.wordpress.com/2012/09/23/mapping-for-our-health/" TargetMode="External"/><Relationship Id="rId14" Type="http://schemas.openxmlformats.org/officeDocument/2006/relationships/hyperlink" Target="http://www.ij-healthgeographics.com/content/8/1/3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</dc:creator>
  <cp:lastModifiedBy>Eddie</cp:lastModifiedBy>
  <cp:revision>3</cp:revision>
  <cp:lastPrinted>2012-12-30T05:29:00Z</cp:lastPrinted>
  <dcterms:created xsi:type="dcterms:W3CDTF">2013-01-04T00:59:00Z</dcterms:created>
  <dcterms:modified xsi:type="dcterms:W3CDTF">2013-01-08T17:36:00Z</dcterms:modified>
</cp:coreProperties>
</file>