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381C4D7" w14:textId="77777777" w:rsidR="00E62BCD" w:rsidRPr="00C81D97" w:rsidRDefault="00000000">
      <w:pPr>
        <w:pStyle w:val="DocumentNumber"/>
        <w:jc w:val="both"/>
      </w:pPr>
      <w:r w:rsidRPr="00C81D97">
        <w:t>OGC Project Document</w:t>
      </w:r>
      <w:r w:rsidRPr="00C81D97">
        <w:tab/>
      </w:r>
      <w:r w:rsidRPr="00C81D97">
        <w:tab/>
      </w:r>
      <w:r w:rsidRPr="00C81D97">
        <w:tab/>
      </w:r>
      <w:r w:rsidRPr="00C81D97">
        <w:tab/>
      </w:r>
      <w:r w:rsidRPr="00C81D97">
        <w:tab/>
      </w:r>
      <w:r w:rsidRPr="00C81D97">
        <w:rPr>
          <w:sz w:val="32"/>
          <w:szCs w:val="32"/>
        </w:rPr>
        <w:t>25-041r1</w:t>
      </w:r>
    </w:p>
    <w:p w14:paraId="04694C64" w14:textId="77777777" w:rsidR="00E62BCD" w:rsidRPr="00C81D97" w:rsidRDefault="00000000">
      <w:pPr>
        <w:pStyle w:val="DocumentHeaderInfo"/>
        <w:jc w:val="both"/>
      </w:pPr>
      <w:r w:rsidRPr="00C81D97">
        <w:t>TITLE:</w:t>
      </w:r>
      <w:r w:rsidRPr="00C81D97">
        <w:tab/>
        <w:t>OGC Provenance Domain Working Group (Provenance DWG) Charter</w:t>
      </w:r>
    </w:p>
    <w:p w14:paraId="56A45B76" w14:textId="77777777" w:rsidR="00E62BCD" w:rsidRPr="00C81D97" w:rsidRDefault="00000000">
      <w:pPr>
        <w:pStyle w:val="DocumentHeaderInfo"/>
        <w:jc w:val="both"/>
      </w:pPr>
      <w:r w:rsidRPr="00C81D97">
        <w:t>Authors:</w:t>
      </w:r>
      <w:r w:rsidRPr="00C81D97">
        <w:tab/>
        <w:t xml:space="preserve">Lucio </w:t>
      </w:r>
      <w:proofErr w:type="spellStart"/>
      <w:r w:rsidRPr="00C81D97">
        <w:t>Colaiacomo</w:t>
      </w:r>
      <w:proofErr w:type="spellEnd"/>
    </w:p>
    <w:p w14:paraId="7A55B47A" w14:textId="77777777" w:rsidR="00E62BCD" w:rsidRPr="00C81D97" w:rsidRDefault="00000000">
      <w:pPr>
        <w:pStyle w:val="DocumentHeaderInfo"/>
        <w:jc w:val="both"/>
      </w:pPr>
      <w:r w:rsidRPr="00C81D97">
        <w:t>Organization:</w:t>
      </w:r>
      <w:r w:rsidRPr="00C81D97">
        <w:tab/>
        <w:t>4113 Engineering</w:t>
      </w:r>
    </w:p>
    <w:p w14:paraId="44F99AC4" w14:textId="77777777" w:rsidR="00E62BCD" w:rsidRPr="00C81D97" w:rsidRDefault="00000000">
      <w:pPr>
        <w:pStyle w:val="DocumentHeaderInfo"/>
        <w:jc w:val="both"/>
      </w:pPr>
      <w:r w:rsidRPr="00C81D97">
        <w:t>Email:</w:t>
      </w:r>
      <w:r w:rsidRPr="00C81D97">
        <w:tab/>
        <w:t>lc@4113engineering.com</w:t>
      </w:r>
    </w:p>
    <w:p w14:paraId="36B32101" w14:textId="77777777" w:rsidR="00E62BCD" w:rsidRPr="00C81D97" w:rsidRDefault="00000000">
      <w:pPr>
        <w:pStyle w:val="DocumentHeaderInfo"/>
        <w:jc w:val="both"/>
      </w:pPr>
      <w:r w:rsidRPr="00C81D97">
        <w:t>Date:</w:t>
      </w:r>
      <w:r w:rsidRPr="00C81D97">
        <w:tab/>
      </w:r>
      <w:r w:rsidR="00E12538" w:rsidRPr="00C81D97">
        <w:t>30</w:t>
      </w:r>
      <w:r w:rsidRPr="00C81D97">
        <w:t xml:space="preserve"> </w:t>
      </w:r>
      <w:r w:rsidR="00E12538" w:rsidRPr="00C81D97">
        <w:t>October</w:t>
      </w:r>
      <w:r w:rsidRPr="00C81D97">
        <w:t xml:space="preserve"> 2025</w:t>
      </w:r>
    </w:p>
    <w:p w14:paraId="1105E800" w14:textId="77777777" w:rsidR="00E62BCD" w:rsidRPr="00C81D97" w:rsidRDefault="00000000">
      <w:pPr>
        <w:pStyle w:val="DocumentHeaderInfo"/>
        <w:jc w:val="both"/>
      </w:pPr>
      <w:r w:rsidRPr="00C81D97">
        <w:t>CATEGORY: Domain Working Group</w:t>
      </w:r>
      <w:r w:rsidRPr="00C81D97">
        <w:tab/>
      </w:r>
    </w:p>
    <w:p w14:paraId="2AA20A2A" w14:textId="77777777" w:rsidR="00E62BCD" w:rsidRPr="00C81D97" w:rsidRDefault="00000000">
      <w:pPr>
        <w:pStyle w:val="Intestazione"/>
        <w:numPr>
          <w:ilvl w:val="0"/>
          <w:numId w:val="2"/>
        </w:numPr>
        <w:jc w:val="both"/>
        <w:rPr>
          <w:lang w:val="en-US"/>
        </w:rPr>
      </w:pPr>
      <w:r w:rsidRPr="00C81D97">
        <w:rPr>
          <w:lang w:val="en-US"/>
        </w:rPr>
        <w:t>Introduction</w:t>
      </w:r>
    </w:p>
    <w:p w14:paraId="256CAFA5" w14:textId="1A51B8B7" w:rsidR="00E62BCD" w:rsidRPr="00C81D97" w:rsidRDefault="00000000">
      <w:pPr>
        <w:pStyle w:val="BodyText"/>
        <w:jc w:val="both"/>
      </w:pPr>
      <w:r w:rsidRPr="00C81D97">
        <w:t xml:space="preserve">This OGC Domain Working Group charter defines the role for OGC activities of a group representing the interests of multiple communities that would benefit from having a common international framework for creating, storing, and processing provenance records (Identity Provenance and Trust) in data and services. Where </w:t>
      </w:r>
      <w:r w:rsidRPr="00C81D97">
        <w:rPr>
          <w:i/>
          <w:iCs/>
        </w:rPr>
        <w:t>provenance is the historical record of data that details the data and service origin, registering its metadata as it moves through processes and transformations</w:t>
      </w:r>
      <w:r w:rsidRPr="00C81D97">
        <w:t xml:space="preserve">. </w:t>
      </w:r>
      <w:r w:rsidR="00441AB6">
        <w:t>T</w:t>
      </w:r>
      <w:r w:rsidRPr="00C81D97">
        <w:t>his DWG will support the definition of the Integrity, Provenance, and Trust (IPT) building block that will be a cross</w:t>
      </w:r>
      <w:r w:rsidR="00441AB6">
        <w:t>-</w:t>
      </w:r>
      <w:r w:rsidRPr="00C81D97">
        <w:t xml:space="preserve">domain reference all the OGC APIs. These communities operate in various market and application domains. Members of the proposed Provenance DWG will come mainly from the defense, OGC API, and Security domains, but likely also from other communities, such as AI, Digital Rights Management (DRM) and remote sensing. </w:t>
      </w:r>
      <w:proofErr w:type="gramStart"/>
      <w:r w:rsidRPr="00C81D97">
        <w:t>Despite the fact that</w:t>
      </w:r>
      <w:proofErr w:type="gramEnd"/>
      <w:r w:rsidRPr="00C81D97">
        <w:t xml:space="preserve"> these domains are distinct markets with different user requirements, business requirements, and approaches to vendors, they all have in common: </w:t>
      </w:r>
    </w:p>
    <w:p w14:paraId="559B243B" w14:textId="77777777" w:rsidR="00E62BCD" w:rsidRPr="00C81D97" w:rsidRDefault="00000000">
      <w:pPr>
        <w:pStyle w:val="BodyText"/>
        <w:numPr>
          <w:ilvl w:val="0"/>
          <w:numId w:val="4"/>
        </w:numPr>
        <w:jc w:val="both"/>
      </w:pPr>
      <w:r w:rsidRPr="00C81D97">
        <w:t>A set of best practices developed in Testbed 19-20 dealing with implementation of identity concept in data and services (OGC APIs</w:t>
      </w:r>
      <w:proofErr w:type="gramStart"/>
      <w:r w:rsidRPr="00C81D97">
        <w:t>);</w:t>
      </w:r>
      <w:proofErr w:type="gramEnd"/>
    </w:p>
    <w:p w14:paraId="3BC9DCBA" w14:textId="1100378B" w:rsidR="00E62BCD" w:rsidRPr="00C81D97" w:rsidRDefault="00000000">
      <w:pPr>
        <w:pStyle w:val="BodyText"/>
        <w:numPr>
          <w:ilvl w:val="0"/>
          <w:numId w:val="4"/>
        </w:numPr>
        <w:jc w:val="both"/>
      </w:pPr>
      <w:r w:rsidRPr="00C81D97">
        <w:t>Results from other OGC Working Groups (e.g., Training Data Markup Language</w:t>
      </w:r>
      <w:proofErr w:type="gramStart"/>
      <w:r w:rsidRPr="00C81D97">
        <w:t>);</w:t>
      </w:r>
      <w:proofErr w:type="gramEnd"/>
    </w:p>
    <w:p w14:paraId="4A25979F" w14:textId="77777777" w:rsidR="00E62BCD" w:rsidRPr="00C81D97" w:rsidRDefault="00000000">
      <w:pPr>
        <w:pStyle w:val="BodyText"/>
        <w:numPr>
          <w:ilvl w:val="0"/>
          <w:numId w:val="4"/>
        </w:numPr>
        <w:jc w:val="both"/>
      </w:pPr>
      <w:r w:rsidRPr="00C81D97">
        <w:t>Provenance building block requirements; and</w:t>
      </w:r>
    </w:p>
    <w:p w14:paraId="1F36969D" w14:textId="77777777" w:rsidR="00E62BCD" w:rsidRPr="00C81D97" w:rsidRDefault="00000000">
      <w:pPr>
        <w:pStyle w:val="BodyText"/>
        <w:numPr>
          <w:ilvl w:val="0"/>
          <w:numId w:val="4"/>
        </w:numPr>
        <w:jc w:val="both"/>
      </w:pPr>
      <w:r w:rsidRPr="00C81D97">
        <w:t>Provenance links to Data Quality.</w:t>
      </w:r>
    </w:p>
    <w:p w14:paraId="0C3CD570" w14:textId="77777777" w:rsidR="00E62BCD" w:rsidRPr="00C81D97" w:rsidRDefault="00000000">
      <w:pPr>
        <w:pStyle w:val="BodyText"/>
        <w:jc w:val="both"/>
      </w:pPr>
      <w:r w:rsidRPr="00C81D97">
        <w:t>“One of the components of the TDML Standard is Provenance the recording of the origins and evolution of elements of information as a guide to their authenticity and quality.  Considerable progress was reported on key aspects of Provenance for Geo applications (although these focused on security issues.  Hopefully follow-on efforts will take up the differential impact provenance has on the level of confidence we assign to derived information depending on the provenance of its sources.)”</w:t>
      </w:r>
    </w:p>
    <w:p w14:paraId="14D4D958" w14:textId="77777777" w:rsidR="00E62BCD" w:rsidRPr="00C81D97" w:rsidRDefault="00000000">
      <w:pPr>
        <w:pStyle w:val="BodyText"/>
        <w:jc w:val="both"/>
      </w:pPr>
      <w:r w:rsidRPr="00C81D97">
        <w:t>The proposed OGC Provenance DWG provides an open forum for the discussion of Provenance in the domain of IPT and other standards (ISO, W3C, etc..) as well as OGC Standards, Best Practices, Pilots, Testbeds and other activities and documents that may help resolve interoperability issues in communities focused on IPT. The scope of this DWG respects the OGC FAIR principles (Findability, Accessibility, Interoperability, and Reusability). This Charter is to be presented to the OGC’s Technical and Planning committees for their consideration.</w:t>
      </w:r>
    </w:p>
    <w:p w14:paraId="44A2CC86" w14:textId="77777777" w:rsidR="00E62BCD" w:rsidRPr="00C81D97" w:rsidRDefault="00000000">
      <w:pPr>
        <w:pStyle w:val="BodyText"/>
        <w:jc w:val="both"/>
      </w:pPr>
      <w:r w:rsidRPr="00C81D97">
        <w:t>The initiators of the Provenance DWG encourage all interested parties to contact the authors of this charter to ask questions and become involved in this important activity.</w:t>
      </w:r>
    </w:p>
    <w:p w14:paraId="348D1C6D" w14:textId="4E05D83A" w:rsidR="00E62BCD" w:rsidRPr="00C81D97" w:rsidRDefault="00000000" w:rsidP="00441AB6">
      <w:pPr>
        <w:pStyle w:val="Intestazione2"/>
        <w:rPr>
          <w:lang w:val="en-US"/>
        </w:rPr>
      </w:pPr>
      <w:r w:rsidRPr="00C81D97">
        <w:rPr>
          <w:lang w:val="en-US"/>
        </w:rPr>
        <w:lastRenderedPageBreak/>
        <w:t>1</w:t>
      </w:r>
      <w:r w:rsidR="00441AB6">
        <w:rPr>
          <w:lang w:val="en-US"/>
        </w:rPr>
        <w:t>.</w:t>
      </w:r>
      <w:r w:rsidRPr="00C81D97">
        <w:rPr>
          <w:lang w:val="en-US"/>
        </w:rPr>
        <w:t xml:space="preserve"> Working Group</w:t>
      </w:r>
    </w:p>
    <w:p w14:paraId="24886315" w14:textId="4F07C41F" w:rsidR="00E62BCD" w:rsidRPr="00C81D97" w:rsidRDefault="00000000" w:rsidP="00441AB6">
      <w:pPr>
        <w:pStyle w:val="Corpo"/>
        <w:rPr>
          <w:lang w:val="en-US"/>
        </w:rPr>
      </w:pPr>
      <w:r w:rsidRPr="00C81D97">
        <w:rPr>
          <w:lang w:val="en-US"/>
        </w:rPr>
        <w:t>Operation of the OGC Provenance DWG will follow the policies and procedures of the OGC Technical Committee</w:t>
      </w:r>
      <w:bookmarkStart w:id="0" w:name="_Ref331313713"/>
      <w:r w:rsidRPr="00C81D97">
        <w:rPr>
          <w:vertAlign w:val="superscript"/>
          <w:lang w:val="en-US"/>
        </w:rPr>
        <w:endnoteReference w:id="2"/>
      </w:r>
      <w:bookmarkEnd w:id="0"/>
      <w:r w:rsidRPr="00C81D97">
        <w:rPr>
          <w:lang w:val="en-US"/>
        </w:rPr>
        <w:t>.  The following definitions from the OGC Technical Policies and Procedures apply to this DWG</w:t>
      </w:r>
      <w:r w:rsidR="00441AB6">
        <w:rPr>
          <w:lang w:val="en-US"/>
        </w:rPr>
        <w:t>.</w:t>
      </w:r>
    </w:p>
    <w:p w14:paraId="1F4DDC2C" w14:textId="07BE47FB" w:rsidR="00E62BCD" w:rsidRPr="00441AB6" w:rsidRDefault="00000000">
      <w:pPr>
        <w:pStyle w:val="BodyText"/>
        <w:ind w:left="720"/>
        <w:jc w:val="both"/>
        <w:rPr>
          <w:i/>
          <w:iCs/>
        </w:rPr>
      </w:pPr>
      <w:r w:rsidRPr="00441AB6">
        <w:rPr>
          <w:i/>
          <w:iCs/>
        </w:rPr>
        <w:t>Definition of an OGC Domain Working Group: A group (organi</w:t>
      </w:r>
      <w:r w:rsidR="00441AB6" w:rsidRPr="00441AB6">
        <w:rPr>
          <w:i/>
          <w:iCs/>
        </w:rPr>
        <w:t>z</w:t>
      </w:r>
      <w:r w:rsidRPr="00441AB6">
        <w:rPr>
          <w:i/>
          <w:iCs/>
        </w:rPr>
        <w:t xml:space="preserve">ationally, a subgroup of the TC) of individuals composed of members of the TC and invited guests, with the specific intent of solving some </w:t>
      </w:r>
      <w:proofErr w:type="gramStart"/>
      <w:r w:rsidRPr="00441AB6">
        <w:rPr>
          <w:i/>
          <w:iCs/>
        </w:rPr>
        <w:t>particular</w:t>
      </w:r>
      <w:r w:rsidR="00441AB6" w:rsidRPr="00441AB6">
        <w:rPr>
          <w:i/>
          <w:iCs/>
        </w:rPr>
        <w:t xml:space="preserve"> </w:t>
      </w:r>
      <w:r w:rsidRPr="00441AB6">
        <w:rPr>
          <w:i/>
          <w:iCs/>
        </w:rPr>
        <w:t>interoperability</w:t>
      </w:r>
      <w:proofErr w:type="gramEnd"/>
      <w:r w:rsidRPr="00441AB6">
        <w:rPr>
          <w:i/>
          <w:iCs/>
        </w:rPr>
        <w:t xml:space="preserve"> problem or problems in a particular technology domain for recommendation to the Technical Committee. </w:t>
      </w:r>
    </w:p>
    <w:p w14:paraId="090438AA" w14:textId="77777777" w:rsidR="00E62BCD" w:rsidRPr="00C81D97" w:rsidRDefault="00000000">
      <w:pPr>
        <w:pStyle w:val="BodyText"/>
        <w:jc w:val="both"/>
      </w:pPr>
      <w:r w:rsidRPr="00C81D97">
        <w:t>Functions of a Domain Working Group:</w:t>
      </w:r>
    </w:p>
    <w:p w14:paraId="01FE7979" w14:textId="77777777" w:rsidR="00E62BCD" w:rsidRPr="00C81D97" w:rsidRDefault="00000000">
      <w:pPr>
        <w:pStyle w:val="Corpo"/>
        <w:numPr>
          <w:ilvl w:val="0"/>
          <w:numId w:val="7"/>
        </w:numPr>
        <w:jc w:val="both"/>
        <w:rPr>
          <w:lang w:val="en-US"/>
        </w:rPr>
      </w:pPr>
      <w:r w:rsidRPr="00C81D97">
        <w:rPr>
          <w:lang w:val="en-US"/>
        </w:rPr>
        <w:t>Provide a forum for discussion and documentation of interoperability requirements for a given information or user community.</w:t>
      </w:r>
    </w:p>
    <w:p w14:paraId="1A86D4C7" w14:textId="77777777" w:rsidR="00E62BCD" w:rsidRPr="00C81D97" w:rsidRDefault="00000000">
      <w:pPr>
        <w:pStyle w:val="Corpo"/>
        <w:numPr>
          <w:ilvl w:val="0"/>
          <w:numId w:val="7"/>
        </w:numPr>
        <w:jc w:val="both"/>
        <w:rPr>
          <w:lang w:val="en-US"/>
        </w:rPr>
      </w:pPr>
      <w:r w:rsidRPr="00C81D97">
        <w:rPr>
          <w:lang w:val="en-US"/>
        </w:rPr>
        <w:t>Provide a forum to discuss and recommend document actions related to Interoperability Program Reports.</w:t>
      </w:r>
    </w:p>
    <w:p w14:paraId="419D8427" w14:textId="77777777" w:rsidR="00E62BCD" w:rsidRPr="00C81D97" w:rsidRDefault="00000000">
      <w:pPr>
        <w:pStyle w:val="Corpo"/>
        <w:numPr>
          <w:ilvl w:val="0"/>
          <w:numId w:val="7"/>
        </w:numPr>
        <w:jc w:val="both"/>
        <w:rPr>
          <w:lang w:val="en-US"/>
        </w:rPr>
      </w:pPr>
      <w:r w:rsidRPr="00C81D97">
        <w:rPr>
          <w:lang w:val="en-US"/>
        </w:rPr>
        <w:t>Have a formal approved charter that defines the DWGs Scope of Work and estimated timeline for completion of the work.</w:t>
      </w:r>
    </w:p>
    <w:p w14:paraId="52E39CF1" w14:textId="77777777" w:rsidR="00E62BCD" w:rsidRPr="00C81D97" w:rsidRDefault="00000000">
      <w:pPr>
        <w:pStyle w:val="Corpo"/>
        <w:numPr>
          <w:ilvl w:val="0"/>
          <w:numId w:val="7"/>
        </w:numPr>
        <w:jc w:val="both"/>
        <w:rPr>
          <w:lang w:val="en-US"/>
        </w:rPr>
      </w:pPr>
      <w:r w:rsidRPr="00C81D97">
        <w:rPr>
          <w:caps/>
          <w:lang w:val="en-US"/>
        </w:rPr>
        <w:t>h</w:t>
      </w:r>
      <w:r w:rsidRPr="00C81D97">
        <w:rPr>
          <w:lang w:val="en-US"/>
        </w:rPr>
        <w:t>ave all-member voting policies (unless otherwise stated).</w:t>
      </w:r>
    </w:p>
    <w:p w14:paraId="01089C0D" w14:textId="77777777" w:rsidR="00E62BCD" w:rsidRPr="00C81D97" w:rsidRDefault="00000000">
      <w:pPr>
        <w:pStyle w:val="Corpo"/>
        <w:numPr>
          <w:ilvl w:val="0"/>
          <w:numId w:val="7"/>
        </w:numPr>
        <w:jc w:val="both"/>
        <w:rPr>
          <w:lang w:val="en-US"/>
        </w:rPr>
      </w:pPr>
      <w:r w:rsidRPr="00C81D97">
        <w:rPr>
          <w:lang w:val="en-US"/>
        </w:rPr>
        <w:t>Have missions and goals defined by the TC.</w:t>
      </w:r>
    </w:p>
    <w:p w14:paraId="425751AD" w14:textId="77777777" w:rsidR="00E62BCD" w:rsidRPr="00C81D97" w:rsidRDefault="00000000">
      <w:pPr>
        <w:pStyle w:val="Corpo"/>
        <w:numPr>
          <w:ilvl w:val="0"/>
          <w:numId w:val="7"/>
        </w:numPr>
        <w:jc w:val="both"/>
        <w:rPr>
          <w:lang w:val="en-US"/>
        </w:rPr>
      </w:pPr>
      <w:r w:rsidRPr="00C81D97">
        <w:rPr>
          <w:lang w:val="en-US"/>
        </w:rPr>
        <w:t>Develop Change Requests Proposals (CRPs) for existing OGC Standards.</w:t>
      </w:r>
    </w:p>
    <w:p w14:paraId="2AE5211B" w14:textId="77777777" w:rsidR="00E62BCD" w:rsidRPr="00C81D97" w:rsidRDefault="00000000">
      <w:pPr>
        <w:pStyle w:val="Corpo"/>
        <w:numPr>
          <w:ilvl w:val="0"/>
          <w:numId w:val="7"/>
        </w:numPr>
        <w:jc w:val="both"/>
        <w:rPr>
          <w:lang w:val="en-US"/>
        </w:rPr>
      </w:pPr>
      <w:r w:rsidRPr="00C81D97">
        <w:rPr>
          <w:lang w:val="en-US"/>
        </w:rPr>
        <w:t>Develop engineering reports with the intent to seek approval by the TC for release of these documents as OGC White Papers, Discussion Papers</w:t>
      </w:r>
      <w:r w:rsidRPr="00C81D97">
        <w:rPr>
          <w:vertAlign w:val="superscript"/>
          <w:lang w:val="en-US"/>
        </w:rPr>
        <w:endnoteReference w:id="3"/>
      </w:r>
      <w:r w:rsidRPr="00C81D97">
        <w:rPr>
          <w:lang w:val="en-US"/>
        </w:rPr>
        <w:t>or Best Practices Papers</w:t>
      </w:r>
    </w:p>
    <w:p w14:paraId="3333E426" w14:textId="77777777" w:rsidR="00E62BCD" w:rsidRPr="00C81D97" w:rsidRDefault="00000000">
      <w:pPr>
        <w:pStyle w:val="Corpo"/>
        <w:numPr>
          <w:ilvl w:val="0"/>
          <w:numId w:val="7"/>
        </w:numPr>
        <w:jc w:val="both"/>
        <w:rPr>
          <w:lang w:val="en-US"/>
        </w:rPr>
      </w:pPr>
      <w:r w:rsidRPr="00C81D97">
        <w:rPr>
          <w:lang w:val="en-US"/>
        </w:rPr>
        <w:t>Provide informational presentations and discussions about the market use of adopted OGC Standards.</w:t>
      </w:r>
      <w:r w:rsidRPr="00C81D97">
        <w:rPr>
          <w:caps/>
          <w:lang w:val="en-US"/>
        </w:rPr>
        <w:t xml:space="preserve"> </w:t>
      </w:r>
    </w:p>
    <w:p w14:paraId="68C44963" w14:textId="77777777" w:rsidR="00E62BCD" w:rsidRPr="00C81D97" w:rsidRDefault="00000000" w:rsidP="00441AB6">
      <w:pPr>
        <w:pStyle w:val="Corpo"/>
        <w:jc w:val="both"/>
        <w:rPr>
          <w:lang w:val="en-US"/>
        </w:rPr>
      </w:pPr>
      <w:r w:rsidRPr="00C81D97">
        <w:rPr>
          <w:lang w:val="en-US"/>
        </w:rPr>
        <w:t xml:space="preserve">A DWG </w:t>
      </w:r>
      <w:r w:rsidRPr="00C81D97">
        <w:rPr>
          <w:u w:val="single"/>
          <w:lang w:val="en-US"/>
        </w:rPr>
        <w:t>does not</w:t>
      </w:r>
      <w:r w:rsidRPr="00C81D97">
        <w:rPr>
          <w:lang w:val="en-US"/>
        </w:rPr>
        <w:t xml:space="preserve"> work on RFC (Request for Comment) submissions, candidate standards, or revisions to existing OGC Standards. However, a DWG can develop change requests as document interoperability requirements that can then be submitted as work items to an OGC Standards Working Group (SWG).</w:t>
      </w:r>
    </w:p>
    <w:p w14:paraId="4D405506" w14:textId="77777777" w:rsidR="00E62BCD" w:rsidRPr="00C81D97" w:rsidRDefault="00000000" w:rsidP="00441AB6">
      <w:pPr>
        <w:pStyle w:val="BodyText"/>
        <w:jc w:val="both"/>
      </w:pPr>
      <w:r w:rsidRPr="00C81D97">
        <w:t xml:space="preserve">A DWG may determine that they wish to have public collaboration, such as in teleconference, email discussions, or a public </w:t>
      </w:r>
      <w:proofErr w:type="spellStart"/>
      <w:r w:rsidRPr="00C81D97">
        <w:t>twiki</w:t>
      </w:r>
      <w:proofErr w:type="spellEnd"/>
      <w:r w:rsidRPr="00C81D97">
        <w:t xml:space="preserve">. In this case, the DWG shall make a motion to the TC to approve public participation in the DWG. Voting in DWGs is by simple majority of OGC Members present at the WG meeting, not just Voting TC Members, with the caveat that no OGC Member </w:t>
      </w:r>
      <w:proofErr w:type="spellStart"/>
      <w:r w:rsidRPr="00C81D97">
        <w:t>organisation</w:t>
      </w:r>
      <w:proofErr w:type="spellEnd"/>
      <w:r w:rsidRPr="00C81D97">
        <w:t xml:space="preserve"> may cast more than one vote in a WG vote.</w:t>
      </w:r>
    </w:p>
    <w:p w14:paraId="380A9CE6" w14:textId="77777777" w:rsidR="00E62BCD" w:rsidRPr="00C81D97" w:rsidRDefault="00E62BCD">
      <w:pPr>
        <w:pStyle w:val="Corpo"/>
        <w:ind w:left="720"/>
        <w:rPr>
          <w:lang w:val="en-US"/>
        </w:rPr>
      </w:pPr>
    </w:p>
    <w:p w14:paraId="0A31F59B" w14:textId="77777777" w:rsidR="00E62BCD" w:rsidRPr="00C81D97" w:rsidRDefault="00000000">
      <w:pPr>
        <w:pStyle w:val="Intestazione"/>
        <w:numPr>
          <w:ilvl w:val="0"/>
          <w:numId w:val="8"/>
        </w:numPr>
        <w:jc w:val="both"/>
        <w:rPr>
          <w:lang w:val="en-US"/>
        </w:rPr>
      </w:pPr>
      <w:r w:rsidRPr="00C81D97">
        <w:rPr>
          <w:lang w:val="en-US"/>
        </w:rPr>
        <w:t xml:space="preserve"> Purpose of the Provenance Domain Working Group</w:t>
      </w:r>
    </w:p>
    <w:p w14:paraId="39A7EAD0" w14:textId="77777777" w:rsidR="00E62BCD" w:rsidRPr="00C81D97" w:rsidRDefault="00000000">
      <w:pPr>
        <w:pStyle w:val="BodyText"/>
        <w:jc w:val="both"/>
      </w:pPr>
      <w:r w:rsidRPr="00C81D97">
        <w:t xml:space="preserve">The mission and purpose of the proposed Provenance DWG is to investigate requirements for standardization of a data model and encoding(s) that will benefit the many disciplines and market domains that work with Provenance data and services. We define provenance as the origin of the data and services we are consuming, that is, location or identifier of the origin of the data or service. This DWG's investigation will determine whether existing standards and practices or the development of a new standard are suitable </w:t>
      </w:r>
      <w:proofErr w:type="gramStart"/>
      <w:r w:rsidRPr="00C81D97">
        <w:t>as a means to</w:t>
      </w:r>
      <w:proofErr w:type="gramEnd"/>
      <w:r w:rsidRPr="00C81D97">
        <w:t xml:space="preserve"> support data sharing and data integration in those disciplines and market domains.  This investigation may lead to the chartering of an OGC Provenance Standards Working Group (SWG) that will develop a standard Provenance conceptual model and perhaps also one or more interactions with integrity (authenticity) based on the model.</w:t>
      </w:r>
    </w:p>
    <w:p w14:paraId="565C817C" w14:textId="35EFDD34" w:rsidR="00E62BCD" w:rsidRPr="00C81D97" w:rsidRDefault="00000000">
      <w:pPr>
        <w:pStyle w:val="BodyText"/>
        <w:jc w:val="both"/>
      </w:pPr>
      <w:r w:rsidRPr="00C81D97">
        <w:t>This mission is aligned with the mission of the OGC in several ways.</w:t>
      </w:r>
    </w:p>
    <w:p w14:paraId="35E052C8" w14:textId="77777777" w:rsidR="00E62BCD" w:rsidRPr="00C81D97" w:rsidRDefault="00000000">
      <w:pPr>
        <w:pStyle w:val="BodyText"/>
        <w:numPr>
          <w:ilvl w:val="0"/>
          <w:numId w:val="10"/>
        </w:numPr>
        <w:jc w:val="both"/>
      </w:pPr>
      <w:r w:rsidRPr="00C81D97">
        <w:t>OGC encoding standards compliancy/support of the IPT concepts.</w:t>
      </w:r>
    </w:p>
    <w:p w14:paraId="79D4893C" w14:textId="77777777" w:rsidR="00E62BCD" w:rsidRPr="00C81D97" w:rsidRDefault="00000000">
      <w:pPr>
        <w:pStyle w:val="BodyText"/>
        <w:numPr>
          <w:ilvl w:val="0"/>
          <w:numId w:val="10"/>
        </w:numPr>
        <w:jc w:val="both"/>
      </w:pPr>
      <w:r w:rsidRPr="00C81D97">
        <w:t>OGC APIs building block compliancy/support of the IPT concepts including the provenance building block.</w:t>
      </w:r>
    </w:p>
    <w:p w14:paraId="69A1C70B" w14:textId="77777777" w:rsidR="00E62BCD" w:rsidRPr="00C81D97" w:rsidRDefault="00000000">
      <w:pPr>
        <w:pStyle w:val="BodyText"/>
        <w:numPr>
          <w:ilvl w:val="0"/>
          <w:numId w:val="10"/>
        </w:numPr>
        <w:jc w:val="both"/>
      </w:pPr>
      <w:r w:rsidRPr="00C81D97">
        <w:t xml:space="preserve">Artificial Intelligence and Quantum communication regulators and stakeholders could benefit in many ways from participation in OGC because they have various spatial data applications, standards </w:t>
      </w:r>
      <w:r w:rsidRPr="00C81D97">
        <w:lastRenderedPageBreak/>
        <w:t>organization involvements, and market interests that overlap with those of OGC members. The Provenance DWG will provide a forum in which some of their issues can be directly or indirectly addressed through networking with OGC members.</w:t>
      </w:r>
    </w:p>
    <w:p w14:paraId="7E5DE1C2" w14:textId="77777777" w:rsidR="00E62BCD" w:rsidRPr="00C81D97" w:rsidRDefault="00000000">
      <w:pPr>
        <w:pStyle w:val="Intestazione"/>
        <w:numPr>
          <w:ilvl w:val="0"/>
          <w:numId w:val="11"/>
        </w:numPr>
        <w:jc w:val="both"/>
        <w:rPr>
          <w:lang w:val="en-US"/>
        </w:rPr>
      </w:pPr>
      <w:r w:rsidRPr="00C81D97">
        <w:rPr>
          <w:lang w:val="en-US"/>
        </w:rPr>
        <w:t xml:space="preserve"> Problem Statement</w:t>
      </w:r>
    </w:p>
    <w:p w14:paraId="72AADDD6" w14:textId="77777777" w:rsidR="00E62BCD" w:rsidRPr="00C81D97" w:rsidRDefault="00000000">
      <w:pPr>
        <w:pStyle w:val="Intestazione2"/>
        <w:numPr>
          <w:ilvl w:val="1"/>
          <w:numId w:val="2"/>
        </w:numPr>
        <w:rPr>
          <w:lang w:val="en-US"/>
        </w:rPr>
      </w:pPr>
      <w:r w:rsidRPr="00C81D97">
        <w:rPr>
          <w:lang w:val="en-US"/>
        </w:rPr>
        <w:t xml:space="preserve"> Use cases</w:t>
      </w:r>
    </w:p>
    <w:p w14:paraId="200D5F71" w14:textId="77777777" w:rsidR="00E62BCD" w:rsidRPr="00C81D97" w:rsidRDefault="00000000" w:rsidP="00441AB6">
      <w:pPr>
        <w:pStyle w:val="BodyText"/>
      </w:pPr>
      <w:r w:rsidRPr="00C81D97">
        <w:t>The proposed Provenance DWG is intended to serve multiple application domain communities within the IPT technology domain. In each of the application domain communities there are various data users, data providers, and service and technology providers.  Below are some of these communities' problems that could be addressed more comprehensively and efficiently if the communities had a common IPT data model.</w:t>
      </w:r>
    </w:p>
    <w:p w14:paraId="3C133FE7" w14:textId="77777777" w:rsidR="00E62BCD" w:rsidRPr="00C81D97" w:rsidRDefault="00000000">
      <w:pPr>
        <w:pStyle w:val="BodyText"/>
        <w:numPr>
          <w:ilvl w:val="0"/>
          <w:numId w:val="13"/>
        </w:numPr>
      </w:pPr>
      <w:r w:rsidRPr="00C81D97">
        <w:t xml:space="preserve">Remote sensing: Both public and private producers of Earth imaging data sometimes encounter problems resulting lack of trust in data and services: </w:t>
      </w:r>
    </w:p>
    <w:p w14:paraId="49875031" w14:textId="77777777" w:rsidR="00E62BCD" w:rsidRPr="00C81D97" w:rsidRDefault="00000000">
      <w:pPr>
        <w:pStyle w:val="BodyText"/>
        <w:numPr>
          <w:ilvl w:val="1"/>
          <w:numId w:val="13"/>
        </w:numPr>
      </w:pPr>
      <w:r w:rsidRPr="00C81D97">
        <w:t>Machine Learning (artificial intelligence results</w:t>
      </w:r>
      <w:proofErr w:type="gramStart"/>
      <w:r w:rsidRPr="00C81D97">
        <w:t>);</w:t>
      </w:r>
      <w:proofErr w:type="gramEnd"/>
    </w:p>
    <w:p w14:paraId="671C4862" w14:textId="77777777" w:rsidR="00E62BCD" w:rsidRPr="00C81D97" w:rsidRDefault="00000000">
      <w:pPr>
        <w:pStyle w:val="BodyText"/>
        <w:numPr>
          <w:ilvl w:val="1"/>
          <w:numId w:val="13"/>
        </w:numPr>
      </w:pPr>
      <w:r w:rsidRPr="00C81D97">
        <w:t xml:space="preserve">General data processing and results of a processing </w:t>
      </w:r>
      <w:proofErr w:type="gramStart"/>
      <w:r w:rsidRPr="00C81D97">
        <w:t>chain;</w:t>
      </w:r>
      <w:proofErr w:type="gramEnd"/>
    </w:p>
    <w:p w14:paraId="4311B69C" w14:textId="77777777" w:rsidR="00E62BCD" w:rsidRPr="00C81D97" w:rsidRDefault="00000000">
      <w:pPr>
        <w:pStyle w:val="BodyText"/>
        <w:numPr>
          <w:ilvl w:val="1"/>
          <w:numId w:val="13"/>
        </w:numPr>
      </w:pPr>
      <w:r w:rsidRPr="00C81D97">
        <w:t>OGC Building blocks; and</w:t>
      </w:r>
    </w:p>
    <w:p w14:paraId="199764CD" w14:textId="77777777" w:rsidR="00E62BCD" w:rsidRPr="00C81D97" w:rsidRDefault="00000000">
      <w:pPr>
        <w:pStyle w:val="BodyText"/>
        <w:numPr>
          <w:ilvl w:val="1"/>
          <w:numId w:val="13"/>
        </w:numPr>
      </w:pPr>
      <w:r w:rsidRPr="00C81D97">
        <w:t>Liability products delivered to third parties.</w:t>
      </w:r>
    </w:p>
    <w:p w14:paraId="6002D60D" w14:textId="77777777" w:rsidR="00E62BCD" w:rsidRPr="00C81D97" w:rsidRDefault="00000000">
      <w:pPr>
        <w:pStyle w:val="BodyText"/>
        <w:ind w:left="1080"/>
      </w:pPr>
      <w:r w:rsidRPr="00C81D97">
        <w:t>…..</w:t>
      </w:r>
    </w:p>
    <w:p w14:paraId="67DA98CC" w14:textId="77777777" w:rsidR="00E62BCD" w:rsidRPr="00C81D97" w:rsidRDefault="00000000">
      <w:pPr>
        <w:pStyle w:val="BodyText"/>
        <w:numPr>
          <w:ilvl w:val="0"/>
          <w:numId w:val="13"/>
        </w:numPr>
        <w:jc w:val="both"/>
      </w:pPr>
      <w:r w:rsidRPr="00C81D97">
        <w:t xml:space="preserve">Quantum communication </w:t>
      </w:r>
    </w:p>
    <w:p w14:paraId="4824AF6A" w14:textId="77777777" w:rsidR="00E62BCD" w:rsidRPr="00C81D97" w:rsidRDefault="00000000">
      <w:pPr>
        <w:pStyle w:val="BodyText"/>
        <w:numPr>
          <w:ilvl w:val="0"/>
          <w:numId w:val="13"/>
        </w:numPr>
        <w:jc w:val="both"/>
      </w:pPr>
      <w:r w:rsidRPr="00C81D97">
        <w:t>Quantum processing</w:t>
      </w:r>
    </w:p>
    <w:p w14:paraId="426A3F2A" w14:textId="77777777" w:rsidR="00E62BCD" w:rsidRPr="00C81D97" w:rsidRDefault="00000000">
      <w:pPr>
        <w:pStyle w:val="BodyText"/>
        <w:numPr>
          <w:ilvl w:val="0"/>
          <w:numId w:val="13"/>
        </w:numPr>
        <w:jc w:val="both"/>
      </w:pPr>
      <w:r w:rsidRPr="00C81D97">
        <w:t>Automatic product production for alerts and monitoring</w:t>
      </w:r>
    </w:p>
    <w:p w14:paraId="0105F6F1" w14:textId="77777777" w:rsidR="00E62BCD" w:rsidRPr="00C81D97" w:rsidRDefault="00000000">
      <w:pPr>
        <w:pStyle w:val="BodyText"/>
        <w:numPr>
          <w:ilvl w:val="0"/>
          <w:numId w:val="13"/>
        </w:numPr>
        <w:jc w:val="both"/>
      </w:pPr>
      <w:r w:rsidRPr="00C81D97">
        <w:t>Automatic combination of services</w:t>
      </w:r>
    </w:p>
    <w:p w14:paraId="5CDF365E" w14:textId="77777777" w:rsidR="00E62BCD" w:rsidRPr="00C81D97" w:rsidRDefault="00000000">
      <w:pPr>
        <w:pStyle w:val="BodyText"/>
        <w:numPr>
          <w:ilvl w:val="0"/>
          <w:numId w:val="13"/>
        </w:numPr>
        <w:jc w:val="both"/>
      </w:pPr>
      <w:r w:rsidRPr="00C81D97">
        <w:t>Releasability of data and services</w:t>
      </w:r>
    </w:p>
    <w:p w14:paraId="7A35A48A" w14:textId="77777777" w:rsidR="00E62BCD" w:rsidRPr="00C81D97" w:rsidRDefault="00000000">
      <w:pPr>
        <w:pStyle w:val="BodyText"/>
        <w:numPr>
          <w:ilvl w:val="0"/>
          <w:numId w:val="13"/>
        </w:numPr>
        <w:jc w:val="both"/>
      </w:pPr>
      <w:r w:rsidRPr="00C81D97">
        <w:t>Zero knowledge proof</w:t>
      </w:r>
    </w:p>
    <w:p w14:paraId="76F6391E" w14:textId="77777777" w:rsidR="00E62BCD" w:rsidRPr="00C81D97" w:rsidRDefault="00000000">
      <w:pPr>
        <w:pStyle w:val="BodyText"/>
        <w:numPr>
          <w:ilvl w:val="0"/>
          <w:numId w:val="13"/>
        </w:numPr>
        <w:jc w:val="both"/>
      </w:pPr>
      <w:r w:rsidRPr="00C81D97">
        <w:t>Digital Rights Management</w:t>
      </w:r>
    </w:p>
    <w:p w14:paraId="3C7D3FEC" w14:textId="77777777" w:rsidR="00E62BCD" w:rsidRPr="00C81D97" w:rsidRDefault="00E62BCD">
      <w:pPr>
        <w:pStyle w:val="BodyText"/>
        <w:jc w:val="both"/>
      </w:pPr>
    </w:p>
    <w:p w14:paraId="2C0A0E36" w14:textId="77777777" w:rsidR="00E62BCD" w:rsidRPr="00C81D97" w:rsidRDefault="00E62BCD">
      <w:pPr>
        <w:pStyle w:val="BodyText"/>
        <w:ind w:left="360"/>
      </w:pPr>
    </w:p>
    <w:p w14:paraId="18D0006A" w14:textId="77777777" w:rsidR="00E62BCD" w:rsidRPr="00C81D97" w:rsidRDefault="00000000">
      <w:pPr>
        <w:pStyle w:val="Intestazione"/>
        <w:numPr>
          <w:ilvl w:val="0"/>
          <w:numId w:val="14"/>
        </w:numPr>
        <w:jc w:val="both"/>
        <w:rPr>
          <w:lang w:val="en-US"/>
        </w:rPr>
      </w:pPr>
      <w:r w:rsidRPr="00C81D97">
        <w:rPr>
          <w:lang w:val="en-US"/>
        </w:rPr>
        <w:t xml:space="preserve"> Charter </w:t>
      </w:r>
    </w:p>
    <w:p w14:paraId="7EACB154" w14:textId="29DC0E40" w:rsidR="00E62BCD" w:rsidRPr="00C81D97" w:rsidRDefault="00000000">
      <w:pPr>
        <w:pStyle w:val="Corpo"/>
        <w:rPr>
          <w:lang w:val="en-US"/>
        </w:rPr>
      </w:pPr>
      <w:r w:rsidRPr="00C81D97">
        <w:rPr>
          <w:lang w:val="en-US"/>
        </w:rPr>
        <w:t xml:space="preserve">The OGC Provenance DWG is proposed as a formal group organized within the OGC to discuss developing a standard way of managing Provenance across OGC standards and APIs. That is, what is proposed is a conceptual data model (?) and one or more IPT derived concepts from that data model, for the sharing, communication and exploitation of a particular kind of data and services. </w:t>
      </w:r>
    </w:p>
    <w:p w14:paraId="421BE704" w14:textId="7A1B6B36" w:rsidR="00E62BCD" w:rsidRPr="00C81D97" w:rsidRDefault="00000000">
      <w:pPr>
        <w:pStyle w:val="Corpo"/>
        <w:rPr>
          <w:lang w:val="en-US"/>
        </w:rPr>
      </w:pPr>
      <w:r w:rsidRPr="00C81D97">
        <w:rPr>
          <w:lang w:val="en-US"/>
        </w:rPr>
        <w:t xml:space="preserve">The work considers “The PROV Data Model </w:t>
      </w:r>
      <w:r w:rsidRPr="00441AB6">
        <w:rPr>
          <w:u w:val="single"/>
          <w:lang w:val="en-US"/>
        </w:rPr>
        <w:t>W3C</w:t>
      </w:r>
      <w:r w:rsidRPr="00C81D97">
        <w:rPr>
          <w:lang w:val="en-US"/>
        </w:rPr>
        <w:t xml:space="preserve"> Recommendation 30 April 2013” as foundational, where several concepts where introduced. For example, when a derived “entity” is generated by an “agent,” the RTL Role, Time and Location are defined for the “activity.” Identifiers are also introduced such as “The PROV data model defines </w:t>
      </w:r>
      <w:r w:rsidRPr="00C81D97">
        <w:rPr>
          <w:i/>
          <w:iCs/>
          <w:lang w:val="en-US"/>
        </w:rPr>
        <w:t>identifiers</w:t>
      </w:r>
      <w:r w:rsidRPr="00C81D97">
        <w:rPr>
          <w:lang w:val="en-US"/>
        </w:rPr>
        <w:t xml:space="preserve"> as qualified names.” Whereas modern DID (</w:t>
      </w:r>
      <w:proofErr w:type="spellStart"/>
      <w:r w:rsidRPr="00C81D97">
        <w:rPr>
          <w:lang w:val="en-US"/>
        </w:rPr>
        <w:t>Decentralised</w:t>
      </w:r>
      <w:proofErr w:type="spellEnd"/>
      <w:r w:rsidRPr="00C81D97">
        <w:rPr>
          <w:lang w:val="en-US"/>
        </w:rPr>
        <w:t xml:space="preserve"> Identifier W3C</w:t>
      </w:r>
      <w:r w:rsidR="00441AB6">
        <w:rPr>
          <w:lang w:val="en-US"/>
        </w:rPr>
        <w:t>)</w:t>
      </w:r>
      <w:r w:rsidRPr="00C81D97">
        <w:rPr>
          <w:lang w:val="en-US"/>
        </w:rPr>
        <w:t xml:space="preserve"> and smart certificates and contracts can support security for accessing the information. </w:t>
      </w:r>
    </w:p>
    <w:p w14:paraId="437A55E6" w14:textId="77777777" w:rsidR="00E62BCD" w:rsidRPr="00C81D97" w:rsidRDefault="00000000">
      <w:pPr>
        <w:pStyle w:val="Corpo"/>
        <w:rPr>
          <w:lang w:val="en-US"/>
        </w:rPr>
      </w:pPr>
      <w:r w:rsidRPr="00C81D97">
        <w:rPr>
          <w:lang w:val="en-US"/>
        </w:rPr>
        <w:t>It will be fundamental to collaborate with W3C and ISO (ISO/IEC CD5181.2) to derive a common approach on Provenance for data and services.</w:t>
      </w:r>
    </w:p>
    <w:p w14:paraId="473E4367" w14:textId="77777777" w:rsidR="00E62BCD" w:rsidRPr="00C81D97" w:rsidRDefault="00E62BCD">
      <w:pPr>
        <w:pStyle w:val="Corpo"/>
        <w:rPr>
          <w:lang w:val="en-US"/>
        </w:rPr>
      </w:pPr>
    </w:p>
    <w:p w14:paraId="3AACA102" w14:textId="77777777" w:rsidR="00E62BCD" w:rsidRPr="00C81D97" w:rsidRDefault="00000000">
      <w:pPr>
        <w:pStyle w:val="Intestazione2"/>
        <w:numPr>
          <w:ilvl w:val="1"/>
          <w:numId w:val="2"/>
        </w:numPr>
        <w:jc w:val="both"/>
        <w:rPr>
          <w:lang w:val="en-US"/>
        </w:rPr>
      </w:pPr>
      <w:r w:rsidRPr="00C81D97">
        <w:rPr>
          <w:lang w:val="en-US"/>
        </w:rPr>
        <w:lastRenderedPageBreak/>
        <w:t xml:space="preserve">Charter Members </w:t>
      </w:r>
    </w:p>
    <w:p w14:paraId="0BA9945C" w14:textId="77777777" w:rsidR="00E62BCD" w:rsidRPr="00C81D97" w:rsidRDefault="00000000" w:rsidP="00441AB6">
      <w:pPr>
        <w:pStyle w:val="BodyText"/>
        <w:jc w:val="both"/>
      </w:pPr>
      <w:r w:rsidRPr="00C81D97">
        <w:t xml:space="preserve">The initial membership of the Provenance DWG will consist of the following members and individuals with extensive education and experience in remote sensing and geomatics issues, namely: </w:t>
      </w:r>
    </w:p>
    <w:p w14:paraId="03AD3D9B" w14:textId="77777777" w:rsidR="00E62BCD" w:rsidRPr="00C81D97" w:rsidRDefault="00000000">
      <w:pPr>
        <w:pStyle w:val="Corpo"/>
        <w:ind w:left="900"/>
        <w:rPr>
          <w:lang w:val="en-US"/>
        </w:rPr>
      </w:pPr>
      <w:r w:rsidRPr="00C81D97">
        <w:rPr>
          <w:lang w:val="en-US"/>
        </w:rPr>
        <w:t xml:space="preserve"> 4113 Engineering </w:t>
      </w:r>
      <w:r w:rsidRPr="00C81D97">
        <w:rPr>
          <w:lang w:val="en-US"/>
        </w:rPr>
        <w:tab/>
      </w:r>
      <w:r w:rsidRPr="00C81D97">
        <w:rPr>
          <w:lang w:val="en-US"/>
        </w:rPr>
        <w:tab/>
        <w:t xml:space="preserve">L. </w:t>
      </w:r>
      <w:proofErr w:type="spellStart"/>
      <w:r w:rsidRPr="00C81D97">
        <w:rPr>
          <w:lang w:val="en-US"/>
        </w:rPr>
        <w:t>Colaiacomo</w:t>
      </w:r>
      <w:proofErr w:type="spellEnd"/>
    </w:p>
    <w:p w14:paraId="28210EEB" w14:textId="77777777" w:rsidR="00E62BCD" w:rsidRPr="00C81D97" w:rsidRDefault="00000000">
      <w:pPr>
        <w:pStyle w:val="Corpo"/>
        <w:ind w:left="900"/>
        <w:rPr>
          <w:lang w:val="en-US"/>
        </w:rPr>
      </w:pPr>
      <w:r w:rsidRPr="00C81D97">
        <w:rPr>
          <w:lang w:val="en-US"/>
        </w:rPr>
        <w:t xml:space="preserve">Secure Dimensions </w:t>
      </w:r>
      <w:r w:rsidRPr="00C81D97">
        <w:rPr>
          <w:lang w:val="en-US"/>
        </w:rPr>
        <w:tab/>
      </w:r>
      <w:r w:rsidRPr="00C81D97">
        <w:rPr>
          <w:lang w:val="en-US"/>
        </w:rPr>
        <w:tab/>
        <w:t>A. Matheus</w:t>
      </w:r>
    </w:p>
    <w:p w14:paraId="17461C46" w14:textId="77777777" w:rsidR="00E62BCD" w:rsidRPr="00C81D97" w:rsidRDefault="00000000">
      <w:pPr>
        <w:pStyle w:val="Corpo"/>
        <w:ind w:left="900"/>
        <w:rPr>
          <w:lang w:val="en-US"/>
        </w:rPr>
      </w:pPr>
      <w:r w:rsidRPr="00C81D97">
        <w:rPr>
          <w:lang w:val="en-US"/>
        </w:rPr>
        <w:t>UK DSTL</w:t>
      </w:r>
      <w:r w:rsidRPr="00C81D97">
        <w:rPr>
          <w:lang w:val="en-US"/>
        </w:rPr>
        <w:tab/>
      </w:r>
      <w:r w:rsidRPr="00C81D97">
        <w:rPr>
          <w:lang w:val="en-US"/>
        </w:rPr>
        <w:tab/>
      </w:r>
      <w:r w:rsidRPr="00C81D97">
        <w:rPr>
          <w:lang w:val="en-US"/>
        </w:rPr>
        <w:tab/>
        <w:t>I. Burnell</w:t>
      </w:r>
    </w:p>
    <w:p w14:paraId="77B7672B" w14:textId="77777777" w:rsidR="00E62BCD" w:rsidRPr="00C81D97" w:rsidRDefault="00000000">
      <w:pPr>
        <w:pStyle w:val="Corpo"/>
        <w:ind w:left="900"/>
        <w:rPr>
          <w:lang w:val="en-US"/>
        </w:rPr>
      </w:pPr>
      <w:r w:rsidRPr="00C81D97">
        <w:rPr>
          <w:lang w:val="en-US"/>
        </w:rPr>
        <w:t xml:space="preserve">Hexagon </w:t>
      </w:r>
      <w:r w:rsidRPr="00C81D97">
        <w:rPr>
          <w:lang w:val="en-US"/>
        </w:rPr>
        <w:tab/>
      </w:r>
      <w:r w:rsidRPr="00C81D97">
        <w:rPr>
          <w:lang w:val="en-US"/>
        </w:rPr>
        <w:tab/>
      </w:r>
      <w:r w:rsidRPr="00C81D97">
        <w:rPr>
          <w:lang w:val="en-US"/>
        </w:rPr>
        <w:tab/>
        <w:t>S. Tillman</w:t>
      </w:r>
    </w:p>
    <w:p w14:paraId="51FDD03C" w14:textId="77777777" w:rsidR="00E62BCD" w:rsidRPr="00C81D97" w:rsidRDefault="00000000">
      <w:pPr>
        <w:pStyle w:val="Corpo"/>
        <w:ind w:left="900"/>
        <w:rPr>
          <w:lang w:val="en-US"/>
        </w:rPr>
      </w:pPr>
      <w:proofErr w:type="spellStart"/>
      <w:r w:rsidRPr="00C81D97">
        <w:rPr>
          <w:lang w:val="en-US"/>
        </w:rPr>
        <w:t>Terradue</w:t>
      </w:r>
      <w:proofErr w:type="spellEnd"/>
      <w:r w:rsidRPr="00C81D97">
        <w:rPr>
          <w:lang w:val="en-US"/>
        </w:rPr>
        <w:tab/>
      </w:r>
      <w:r w:rsidRPr="00C81D97">
        <w:rPr>
          <w:lang w:val="en-US"/>
        </w:rPr>
        <w:tab/>
      </w:r>
      <w:r w:rsidRPr="00C81D97">
        <w:rPr>
          <w:lang w:val="en-US"/>
        </w:rPr>
        <w:tab/>
        <w:t>P..</w:t>
      </w:r>
      <w:proofErr w:type="spellStart"/>
      <w:r w:rsidRPr="00C81D97">
        <w:rPr>
          <w:lang w:val="en-US"/>
        </w:rPr>
        <w:t>Gonzalvez</w:t>
      </w:r>
      <w:proofErr w:type="spellEnd"/>
    </w:p>
    <w:p w14:paraId="112A7221" w14:textId="77777777" w:rsidR="00E62BCD" w:rsidRPr="00C81D97" w:rsidRDefault="00E62BCD">
      <w:pPr>
        <w:pStyle w:val="Corpo"/>
        <w:ind w:left="900"/>
        <w:rPr>
          <w:lang w:val="en-US"/>
        </w:rPr>
      </w:pPr>
    </w:p>
    <w:p w14:paraId="246917C8" w14:textId="77777777" w:rsidR="00E62BCD" w:rsidRPr="00C81D97" w:rsidRDefault="00000000">
      <w:pPr>
        <w:pStyle w:val="Intestazione2"/>
        <w:numPr>
          <w:ilvl w:val="1"/>
          <w:numId w:val="2"/>
        </w:numPr>
        <w:jc w:val="both"/>
        <w:rPr>
          <w:lang w:val="en-US"/>
        </w:rPr>
      </w:pPr>
      <w:r w:rsidRPr="00C81D97">
        <w:rPr>
          <w:lang w:val="en-US"/>
        </w:rPr>
        <w:t xml:space="preserve"> Key Activities </w:t>
      </w:r>
    </w:p>
    <w:p w14:paraId="6EC22B8B" w14:textId="77777777" w:rsidR="00E62BCD" w:rsidRPr="00C81D97" w:rsidRDefault="00000000" w:rsidP="00441AB6">
      <w:pPr>
        <w:pStyle w:val="BodyText"/>
        <w:jc w:val="both"/>
      </w:pPr>
      <w:r w:rsidRPr="00C81D97">
        <w:t>The key activities of the Provenance DWG will be:</w:t>
      </w:r>
    </w:p>
    <w:p w14:paraId="2A0D762C" w14:textId="77777777" w:rsidR="00E62BCD" w:rsidRPr="00C81D97" w:rsidRDefault="00000000">
      <w:pPr>
        <w:pStyle w:val="List"/>
        <w:ind w:left="990" w:hanging="180"/>
        <w:jc w:val="both"/>
      </w:pPr>
      <w:r w:rsidRPr="00C81D97">
        <w:t>1.</w:t>
      </w:r>
      <w:r w:rsidRPr="00C81D97">
        <w:tab/>
        <w:t>Determine OGC goals and determine organizational issues and existing complementary standards that might enable or limit Provenance domains workflows, data, technology, and markets.</w:t>
      </w:r>
    </w:p>
    <w:p w14:paraId="617B476E" w14:textId="77777777" w:rsidR="00E62BCD" w:rsidRPr="00C81D97" w:rsidRDefault="00000000">
      <w:pPr>
        <w:pStyle w:val="List"/>
        <w:ind w:left="990" w:hanging="180"/>
        <w:jc w:val="both"/>
      </w:pPr>
      <w:r w:rsidRPr="00C81D97">
        <w:t>2.</w:t>
      </w:r>
      <w:r w:rsidRPr="00C81D97">
        <w:tab/>
        <w:t>Define the business issues and approaches for OGC to consider so that Provenance using domain considerations are brought into proper focus within the OGC's interoperability initiatives and so those domains understand the value of participating in OGC initiatives. The approach includes members of the DWG defining their business objectives, tasks and schedule.</w:t>
      </w:r>
    </w:p>
    <w:p w14:paraId="517031CF" w14:textId="77777777" w:rsidR="00E62BCD" w:rsidRPr="00C81D97" w:rsidRDefault="00000000">
      <w:pPr>
        <w:pStyle w:val="List"/>
        <w:ind w:left="990" w:hanging="180"/>
        <w:jc w:val="both"/>
      </w:pPr>
      <w:r w:rsidRPr="00C81D97">
        <w:t>3.</w:t>
      </w:r>
      <w:r w:rsidRPr="00C81D97">
        <w:tab/>
        <w:t>Define approaches for engaging with the Provenance domains to enlist their support. An important early function of the Provenance DWG will be to reach out to these communities to let them know that a standard is about to be developed that will potentially be of use to them. They will be invited to participate. The conceptual Provenance data model that takes shape will be application neutral. It will be based on basic Provenance properties.</w:t>
      </w:r>
    </w:p>
    <w:p w14:paraId="5833ACC9" w14:textId="77777777" w:rsidR="00E62BCD" w:rsidRPr="00C81D97" w:rsidRDefault="00000000">
      <w:pPr>
        <w:pStyle w:val="List"/>
        <w:ind w:left="990" w:hanging="180"/>
        <w:jc w:val="both"/>
      </w:pPr>
      <w:r w:rsidRPr="00C81D97">
        <w:t>4. Coordinate with other working groups like METACAT</w:t>
      </w:r>
    </w:p>
    <w:p w14:paraId="51788C03" w14:textId="77777777" w:rsidR="00E62BCD" w:rsidRPr="00C81D97" w:rsidRDefault="00000000">
      <w:pPr>
        <w:pStyle w:val="List"/>
        <w:ind w:left="990" w:hanging="180"/>
        <w:jc w:val="both"/>
      </w:pPr>
      <w:r w:rsidRPr="00C81D97">
        <w:t xml:space="preserve"> </w:t>
      </w:r>
    </w:p>
    <w:p w14:paraId="18A025A2" w14:textId="77777777" w:rsidR="00E62BCD" w:rsidRPr="00C81D97" w:rsidRDefault="00E62BCD">
      <w:pPr>
        <w:pStyle w:val="List"/>
        <w:ind w:left="990" w:hanging="180"/>
        <w:jc w:val="both"/>
        <w:rPr>
          <w:color w:val="FF0000"/>
          <w:u w:color="FF0000"/>
        </w:rPr>
      </w:pPr>
    </w:p>
    <w:p w14:paraId="52D089D3" w14:textId="77777777" w:rsidR="00E62BCD" w:rsidRPr="00C81D97" w:rsidRDefault="00000000">
      <w:pPr>
        <w:pStyle w:val="Intestazione2"/>
        <w:numPr>
          <w:ilvl w:val="1"/>
          <w:numId w:val="2"/>
        </w:numPr>
        <w:jc w:val="both"/>
        <w:rPr>
          <w:lang w:val="en-US"/>
        </w:rPr>
      </w:pPr>
      <w:r w:rsidRPr="00C81D97">
        <w:rPr>
          <w:lang w:val="en-US"/>
        </w:rPr>
        <w:t xml:space="preserve"> Business Case</w:t>
      </w:r>
    </w:p>
    <w:p w14:paraId="2544328E" w14:textId="77777777" w:rsidR="00E62BCD" w:rsidRPr="00C81D97" w:rsidRDefault="00000000" w:rsidP="00441AB6">
      <w:pPr>
        <w:pStyle w:val="BodyText"/>
        <w:jc w:val="both"/>
      </w:pPr>
      <w:r w:rsidRPr="00C81D97">
        <w:t xml:space="preserve">The proposed Provenance DWG will work to identify individuals and organizations that can further define the business cases for various Provenance domains, that is, the justifications for developing an open standard or leveraging existing standards, based on projected improved operations and new opportunities for domain growth and innovation. It is anticipated that in each domain some or </w:t>
      </w:r>
      <w:proofErr w:type="gramStart"/>
      <w:r w:rsidRPr="00C81D97">
        <w:t>all of</w:t>
      </w:r>
      <w:proofErr w:type="gramEnd"/>
      <w:r w:rsidRPr="00C81D97">
        <w:t xml:space="preserve"> the following requirements could be better met if an open standard were developed and then implemented in systems deployed within those domains:</w:t>
      </w:r>
    </w:p>
    <w:p w14:paraId="44542F54" w14:textId="77777777" w:rsidR="00E62BCD" w:rsidRPr="00C81D97" w:rsidRDefault="00000000">
      <w:pPr>
        <w:pStyle w:val="List2"/>
        <w:numPr>
          <w:ilvl w:val="0"/>
          <w:numId w:val="16"/>
        </w:numPr>
        <w:jc w:val="both"/>
      </w:pPr>
      <w:r w:rsidRPr="00C81D97">
        <w:t xml:space="preserve">Data sharing, interface standards and </w:t>
      </w:r>
      <w:proofErr w:type="gramStart"/>
      <w:r w:rsidRPr="00C81D97">
        <w:t>approaches;</w:t>
      </w:r>
      <w:proofErr w:type="gramEnd"/>
    </w:p>
    <w:p w14:paraId="6CA876C4" w14:textId="77777777" w:rsidR="00E62BCD" w:rsidRPr="00C81D97" w:rsidRDefault="00000000">
      <w:pPr>
        <w:pStyle w:val="List2"/>
        <w:numPr>
          <w:ilvl w:val="0"/>
          <w:numId w:val="16"/>
        </w:numPr>
        <w:jc w:val="both"/>
      </w:pPr>
      <w:r w:rsidRPr="00C81D97">
        <w:t xml:space="preserve">Metadata </w:t>
      </w:r>
      <w:proofErr w:type="gramStart"/>
      <w:r w:rsidRPr="00C81D97">
        <w:t>standards;</w:t>
      </w:r>
      <w:proofErr w:type="gramEnd"/>
    </w:p>
    <w:p w14:paraId="15E12176" w14:textId="77777777" w:rsidR="00E62BCD" w:rsidRPr="00C81D97" w:rsidRDefault="00000000">
      <w:pPr>
        <w:pStyle w:val="List2"/>
        <w:numPr>
          <w:ilvl w:val="0"/>
          <w:numId w:val="16"/>
        </w:numPr>
        <w:jc w:val="both"/>
      </w:pPr>
      <w:r w:rsidRPr="00C81D97">
        <w:t>Domain analysis models and processing standards; and</w:t>
      </w:r>
    </w:p>
    <w:p w14:paraId="78CD60B0" w14:textId="77777777" w:rsidR="00E62BCD" w:rsidRPr="00C81D97" w:rsidRDefault="00000000">
      <w:pPr>
        <w:pStyle w:val="List2"/>
        <w:numPr>
          <w:ilvl w:val="0"/>
          <w:numId w:val="16"/>
        </w:numPr>
        <w:jc w:val="both"/>
      </w:pPr>
      <w:r w:rsidRPr="00C81D97">
        <w:t>Data quality and accuracy.</w:t>
      </w:r>
    </w:p>
    <w:p w14:paraId="7A03424F" w14:textId="77777777" w:rsidR="00E62BCD" w:rsidRPr="00C81D97" w:rsidRDefault="00E62BCD">
      <w:pPr>
        <w:pStyle w:val="Corpo"/>
        <w:tabs>
          <w:tab w:val="left" w:pos="720"/>
          <w:tab w:val="left" w:pos="1440"/>
          <w:tab w:val="left" w:pos="2160"/>
          <w:tab w:val="left" w:pos="2880"/>
          <w:tab w:val="left" w:pos="3600"/>
          <w:tab w:val="left" w:pos="4320"/>
          <w:tab w:val="left" w:pos="5040"/>
          <w:tab w:val="left" w:pos="5760"/>
          <w:tab w:val="left" w:pos="6480"/>
          <w:tab w:val="left" w:pos="7200"/>
          <w:tab w:val="left" w:pos="7920"/>
          <w:tab w:val="left" w:pos="8140"/>
        </w:tabs>
        <w:jc w:val="both"/>
        <w:rPr>
          <w:sz w:val="22"/>
          <w:szCs w:val="22"/>
          <w:lang w:val="en-US"/>
        </w:rPr>
      </w:pPr>
    </w:p>
    <w:p w14:paraId="6A13D2FF" w14:textId="77777777" w:rsidR="00E62BCD" w:rsidRPr="00C81D97" w:rsidRDefault="00000000">
      <w:pPr>
        <w:pStyle w:val="Intestazione"/>
        <w:numPr>
          <w:ilvl w:val="0"/>
          <w:numId w:val="17"/>
        </w:numPr>
        <w:jc w:val="both"/>
        <w:rPr>
          <w:lang w:val="en-US"/>
        </w:rPr>
      </w:pPr>
      <w:r w:rsidRPr="00C81D97">
        <w:rPr>
          <w:lang w:val="en-US"/>
        </w:rPr>
        <w:t xml:space="preserve"> Organizational Approach and Scope of Work</w:t>
      </w:r>
    </w:p>
    <w:p w14:paraId="15927C0C" w14:textId="77777777" w:rsidR="00E62BCD" w:rsidRPr="00C81D97" w:rsidRDefault="00000000">
      <w:pPr>
        <w:pStyle w:val="Intestazione2"/>
        <w:numPr>
          <w:ilvl w:val="1"/>
          <w:numId w:val="2"/>
        </w:numPr>
        <w:jc w:val="both"/>
        <w:rPr>
          <w:lang w:val="en-US"/>
        </w:rPr>
      </w:pPr>
      <w:r w:rsidRPr="00C81D97">
        <w:rPr>
          <w:lang w:val="en-US"/>
        </w:rPr>
        <w:t xml:space="preserve"> Provenance DWG's Business Goals</w:t>
      </w:r>
    </w:p>
    <w:p w14:paraId="2FAD920E" w14:textId="77777777" w:rsidR="00E62BCD" w:rsidRPr="00C81D97" w:rsidRDefault="00000000" w:rsidP="00441AB6">
      <w:pPr>
        <w:pStyle w:val="ListContinue2"/>
        <w:ind w:left="0"/>
        <w:jc w:val="both"/>
        <w:rPr>
          <w:b/>
          <w:bCs/>
          <w:u w:val="single"/>
        </w:rPr>
      </w:pPr>
      <w:r w:rsidRPr="00C81D97">
        <w:t>The Provenance DWG will establish a set of business goals for the Provenance activity. These are some of the basic principles for establishing these goals.</w:t>
      </w:r>
    </w:p>
    <w:p w14:paraId="30C8F7AE" w14:textId="77777777" w:rsidR="00E62BCD" w:rsidRPr="00C81D97" w:rsidRDefault="00000000">
      <w:pPr>
        <w:pStyle w:val="List3"/>
        <w:jc w:val="both"/>
      </w:pPr>
      <w:r w:rsidRPr="00C81D97">
        <w:t>1)</w:t>
      </w:r>
      <w:r w:rsidRPr="00C81D97">
        <w:tab/>
        <w:t>Efforts should focus on developing solutions to issues and problems that result in a net gain for the various communities represented in the Working Group.</w:t>
      </w:r>
    </w:p>
    <w:p w14:paraId="28D2AAD3" w14:textId="77777777" w:rsidR="00E62BCD" w:rsidRPr="00C81D97" w:rsidRDefault="00000000">
      <w:pPr>
        <w:pStyle w:val="List3"/>
        <w:jc w:val="both"/>
      </w:pPr>
      <w:r w:rsidRPr="00C81D97">
        <w:lastRenderedPageBreak/>
        <w:t>2)</w:t>
      </w:r>
      <w:r w:rsidRPr="00C81D97">
        <w:tab/>
        <w:t>Minimize technical distinctions between data processing systems that use geography, as this can lead to artificial barriers that limit the potential of all segments of the information community to come together and fully prosper.</w:t>
      </w:r>
    </w:p>
    <w:p w14:paraId="34F0279C" w14:textId="77777777" w:rsidR="00E62BCD" w:rsidRPr="00C81D97" w:rsidRDefault="00000000">
      <w:pPr>
        <w:pStyle w:val="List3"/>
        <w:jc w:val="both"/>
      </w:pPr>
      <w:r w:rsidRPr="00C81D97">
        <w:t>3)</w:t>
      </w:r>
      <w:r w:rsidRPr="00C81D97">
        <w:tab/>
        <w:t>Avoid placing artificial technical barriers on use of data.</w:t>
      </w:r>
    </w:p>
    <w:p w14:paraId="7C2C6608" w14:textId="77777777" w:rsidR="00E62BCD" w:rsidRPr="00C81D97" w:rsidRDefault="00000000">
      <w:pPr>
        <w:pStyle w:val="List3"/>
        <w:jc w:val="both"/>
      </w:pPr>
      <w:r w:rsidRPr="00C81D97">
        <w:t>4)</w:t>
      </w:r>
      <w:r w:rsidRPr="00C81D97">
        <w:tab/>
        <w:t xml:space="preserve">Establish </w:t>
      </w:r>
      <w:proofErr w:type="gramStart"/>
      <w:r w:rsidRPr="00C81D97">
        <w:t>the means by which</w:t>
      </w:r>
      <w:proofErr w:type="gramEnd"/>
      <w:r w:rsidRPr="00C81D97">
        <w:t xml:space="preserve"> OGC can achieve interoperability and yet preserve the proprietary nature of data.</w:t>
      </w:r>
    </w:p>
    <w:p w14:paraId="4E53435B" w14:textId="77777777" w:rsidR="00E62BCD" w:rsidRPr="00C81D97" w:rsidRDefault="00000000">
      <w:pPr>
        <w:pStyle w:val="List3"/>
        <w:jc w:val="both"/>
      </w:pPr>
      <w:r w:rsidRPr="00C81D97">
        <w:t>5)</w:t>
      </w:r>
      <w:r w:rsidRPr="00C81D97">
        <w:tab/>
        <w:t>To achieve these goals, define the supporting infrastructure for the application domain communities and the larger community of Provenance user domains.</w:t>
      </w:r>
    </w:p>
    <w:p w14:paraId="6B4BDD09" w14:textId="77777777" w:rsidR="00E62BCD" w:rsidRPr="00C81D97" w:rsidRDefault="00000000">
      <w:pPr>
        <w:pStyle w:val="Intestazione2"/>
        <w:numPr>
          <w:ilvl w:val="1"/>
          <w:numId w:val="2"/>
        </w:numPr>
        <w:rPr>
          <w:lang w:val="en-US"/>
        </w:rPr>
      </w:pPr>
      <w:r w:rsidRPr="00C81D97">
        <w:rPr>
          <w:lang w:val="en-US"/>
        </w:rPr>
        <w:t xml:space="preserve"> Provenance DWG: Mission and Role</w:t>
      </w:r>
    </w:p>
    <w:p w14:paraId="586BA073" w14:textId="77777777" w:rsidR="00E62BCD" w:rsidRPr="00C81D97" w:rsidRDefault="00000000" w:rsidP="00441AB6">
      <w:pPr>
        <w:pStyle w:val="BodyTextIndent"/>
        <w:ind w:left="0"/>
        <w:jc w:val="both"/>
      </w:pPr>
      <w:r w:rsidRPr="00C81D97">
        <w:t xml:space="preserve">The Provenance DWG will concern itself with technology and technology policy issues, focusing on geodata information and technology interests as they relate to the overall Provenance technology domain and its application domains and </w:t>
      </w:r>
      <w:proofErr w:type="gramStart"/>
      <w:r w:rsidRPr="00C81D97">
        <w:t>the means by which</w:t>
      </w:r>
      <w:proofErr w:type="gramEnd"/>
      <w:r w:rsidRPr="00C81D97">
        <w:t xml:space="preserve"> those issues are appropriately factored into the OGC standards development process.</w:t>
      </w:r>
    </w:p>
    <w:p w14:paraId="33F7311F" w14:textId="77777777" w:rsidR="00E62BCD" w:rsidRPr="00C81D97" w:rsidRDefault="00000000">
      <w:pPr>
        <w:pStyle w:val="BodyTextIndent"/>
        <w:numPr>
          <w:ilvl w:val="0"/>
          <w:numId w:val="19"/>
        </w:numPr>
        <w:jc w:val="both"/>
      </w:pPr>
      <w:r w:rsidRPr="00C81D97">
        <w:t>Mission: The mission of the Provenance DWG is to review specific requirements for the development of interoperability standards for Identity Provenance and Trust data and related processing services, under the auspices of OGC.</w:t>
      </w:r>
    </w:p>
    <w:p w14:paraId="2D2447D5" w14:textId="08ECFF24" w:rsidR="00E62BCD" w:rsidRPr="00C81D97" w:rsidRDefault="00000000">
      <w:pPr>
        <w:pStyle w:val="BodyTextIndent"/>
        <w:numPr>
          <w:ilvl w:val="0"/>
          <w:numId w:val="19"/>
        </w:numPr>
        <w:jc w:val="both"/>
      </w:pPr>
      <w:r w:rsidRPr="00C81D97">
        <w:t>Role: The role of the Provenance DWG is to:</w:t>
      </w:r>
    </w:p>
    <w:p w14:paraId="63E47A7D" w14:textId="0704B99C" w:rsidR="00E62BCD" w:rsidRPr="00C81D97" w:rsidRDefault="00000000">
      <w:pPr>
        <w:pStyle w:val="BodyTextIndent"/>
        <w:numPr>
          <w:ilvl w:val="0"/>
          <w:numId w:val="21"/>
        </w:numPr>
        <w:jc w:val="both"/>
      </w:pPr>
      <w:r w:rsidRPr="00C81D97">
        <w:t xml:space="preserve">Define and focus Provenance domains' interoperability-related </w:t>
      </w:r>
      <w:proofErr w:type="gramStart"/>
      <w:r w:rsidRPr="00C81D97">
        <w:t>issues;</w:t>
      </w:r>
      <w:proofErr w:type="gramEnd"/>
    </w:p>
    <w:p w14:paraId="4F3BEB85" w14:textId="77777777" w:rsidR="00E62BCD" w:rsidRPr="00C81D97" w:rsidRDefault="00000000">
      <w:pPr>
        <w:pStyle w:val="BodyTextIndent"/>
        <w:numPr>
          <w:ilvl w:val="0"/>
          <w:numId w:val="21"/>
        </w:numPr>
        <w:jc w:val="both"/>
      </w:pPr>
      <w:r w:rsidRPr="00C81D97">
        <w:t xml:space="preserve">Ascertain that these issues cannot be addressed with current standards such as those from other standards </w:t>
      </w:r>
      <w:proofErr w:type="gramStart"/>
      <w:r w:rsidRPr="00C81D97">
        <w:t>organizations;</w:t>
      </w:r>
      <w:proofErr w:type="gramEnd"/>
    </w:p>
    <w:p w14:paraId="48C72C8D" w14:textId="77777777" w:rsidR="00E62BCD" w:rsidRPr="00C81D97" w:rsidRDefault="00000000">
      <w:pPr>
        <w:pStyle w:val="BodyTextIndent"/>
        <w:numPr>
          <w:ilvl w:val="0"/>
          <w:numId w:val="21"/>
        </w:numPr>
        <w:jc w:val="both"/>
      </w:pPr>
      <w:r w:rsidRPr="00C81D97">
        <w:t>Confirm that other standards organizations such as ISO, ITU and BIPM are either not interested in developing such a standard or that it makes sense for OGC, a more agile organization, to develop the standard for subsequent endorsement by one or more of those organizations. (See Section 4, Charter.); and</w:t>
      </w:r>
    </w:p>
    <w:p w14:paraId="1C04F1E5" w14:textId="77777777" w:rsidR="00E62BCD" w:rsidRPr="00C81D97" w:rsidRDefault="00000000">
      <w:pPr>
        <w:pStyle w:val="BodyTextIndent"/>
        <w:numPr>
          <w:ilvl w:val="0"/>
          <w:numId w:val="21"/>
        </w:numPr>
        <w:jc w:val="both"/>
      </w:pPr>
      <w:r w:rsidRPr="00C81D97">
        <w:t xml:space="preserve">Report to the Technical Committee; and then, if DWG members agree, draft a charter for a Provenance Standards Working Group. </w:t>
      </w:r>
    </w:p>
    <w:p w14:paraId="04C09B69" w14:textId="77777777" w:rsidR="00E62BCD" w:rsidRPr="00C81D97" w:rsidRDefault="00000000">
      <w:pPr>
        <w:pStyle w:val="Intestazione2"/>
        <w:numPr>
          <w:ilvl w:val="1"/>
          <w:numId w:val="22"/>
        </w:numPr>
        <w:jc w:val="both"/>
        <w:rPr>
          <w:lang w:val="en-US"/>
        </w:rPr>
      </w:pPr>
      <w:r w:rsidRPr="00C81D97">
        <w:rPr>
          <w:lang w:val="en-US"/>
        </w:rPr>
        <w:t xml:space="preserve"> Activities planned for the Provenance</w:t>
      </w:r>
      <w:r w:rsidRPr="00441AB6">
        <w:rPr>
          <w:lang w:val="en-US"/>
        </w:rPr>
        <w:t xml:space="preserve"> DWG</w:t>
      </w:r>
    </w:p>
    <w:p w14:paraId="6C16CDFA" w14:textId="77777777" w:rsidR="00E62BCD" w:rsidRPr="00C81D97" w:rsidRDefault="00000000" w:rsidP="00441AB6">
      <w:pPr>
        <w:pStyle w:val="BodyText"/>
        <w:jc w:val="both"/>
      </w:pPr>
      <w:r w:rsidRPr="00C81D97">
        <w:t>The Provenance DWG's basic scope of work and tasks are outlined in the sections above. The planned work will complement existing efforts and results produced by the OGC. The DWG will perform the following activities.</w:t>
      </w:r>
    </w:p>
    <w:p w14:paraId="41E8F0EC" w14:textId="77777777" w:rsidR="00E62BCD" w:rsidRPr="00C81D97" w:rsidRDefault="00000000">
      <w:pPr>
        <w:pStyle w:val="BodyText"/>
        <w:numPr>
          <w:ilvl w:val="0"/>
          <w:numId w:val="24"/>
        </w:numPr>
        <w:jc w:val="both"/>
      </w:pPr>
      <w:r w:rsidRPr="00C81D97">
        <w:t>Define DWG membership objectives.</w:t>
      </w:r>
    </w:p>
    <w:p w14:paraId="206F6660" w14:textId="77777777" w:rsidR="00E62BCD" w:rsidRPr="00C81D97" w:rsidRDefault="00000000">
      <w:pPr>
        <w:pStyle w:val="BodyText"/>
        <w:numPr>
          <w:ilvl w:val="0"/>
          <w:numId w:val="24"/>
        </w:numPr>
        <w:jc w:val="both"/>
      </w:pPr>
      <w:r w:rsidRPr="00C81D97">
        <w:t>Assess the landscape of current Provenance standards and practices and identify existing solutions that might be leveraged in OGC or describe the failings/insufficiency of these solutions for geospatial use cases.</w:t>
      </w:r>
    </w:p>
    <w:p w14:paraId="6CB74624" w14:textId="77777777" w:rsidR="00E62BCD" w:rsidRPr="00C81D97" w:rsidRDefault="00000000">
      <w:pPr>
        <w:pStyle w:val="BodyText"/>
        <w:numPr>
          <w:ilvl w:val="0"/>
          <w:numId w:val="24"/>
        </w:numPr>
        <w:jc w:val="both"/>
      </w:pPr>
      <w:r w:rsidRPr="00C81D97">
        <w:t>Define how user communities, both current and potential, should have access to the working group so that requirements and technology issues are addressed and results do indeed provide the technology they need.</w:t>
      </w:r>
    </w:p>
    <w:p w14:paraId="4E0AC80A" w14:textId="77777777" w:rsidR="00E62BCD" w:rsidRPr="00C81D97" w:rsidRDefault="00000000">
      <w:pPr>
        <w:pStyle w:val="BodyText"/>
        <w:numPr>
          <w:ilvl w:val="0"/>
          <w:numId w:val="24"/>
        </w:numPr>
        <w:jc w:val="both"/>
      </w:pPr>
      <w:r w:rsidRPr="00C81D97">
        <w:t>Present and discuss IPT data workflows, interoperability requirements, use cases and non-OGC Provenance standards as well as OGC standards, best practices, pilots, testbeds and other activities and documents that may help resolve interoperability issues in communities focused on IPT</w:t>
      </w:r>
    </w:p>
    <w:p w14:paraId="0EA9164E" w14:textId="77777777" w:rsidR="00E62BCD" w:rsidRPr="00C81D97" w:rsidRDefault="00000000">
      <w:pPr>
        <w:pStyle w:val="BodyText"/>
        <w:numPr>
          <w:ilvl w:val="0"/>
          <w:numId w:val="24"/>
        </w:numPr>
        <w:jc w:val="both"/>
      </w:pPr>
      <w:r w:rsidRPr="00C81D97">
        <w:t>Define technical tasks to be undertaken by a proposed Provenance Standards Working Group.</w:t>
      </w:r>
    </w:p>
    <w:p w14:paraId="07C96CAE" w14:textId="77777777" w:rsidR="00E62BCD" w:rsidRPr="00C81D97" w:rsidRDefault="00000000">
      <w:pPr>
        <w:pStyle w:val="Intestazione"/>
        <w:numPr>
          <w:ilvl w:val="0"/>
          <w:numId w:val="25"/>
        </w:numPr>
        <w:rPr>
          <w:lang w:val="en-US"/>
        </w:rPr>
      </w:pPr>
      <w:r w:rsidRPr="00C81D97">
        <w:rPr>
          <w:lang w:val="en-US"/>
        </w:rPr>
        <w:t xml:space="preserve"> References</w:t>
      </w:r>
    </w:p>
    <w:sectPr w:rsidR="00E62BCD" w:rsidRPr="00C81D97">
      <w:headerReference w:type="default" r:id="rId7"/>
      <w:footerReference w:type="default" r:id="rId8"/>
      <w:pgSz w:w="12240" w:h="15840"/>
      <w:pgMar w:top="1440" w:right="1800" w:bottom="1440" w:left="18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2B2E519" w14:textId="77777777" w:rsidR="00DF6F71" w:rsidRDefault="00DF6F71">
      <w:r>
        <w:separator/>
      </w:r>
    </w:p>
  </w:endnote>
  <w:endnote w:type="continuationSeparator" w:id="0">
    <w:p w14:paraId="695E6EA5" w14:textId="77777777" w:rsidR="00DF6F71" w:rsidRDefault="00DF6F71">
      <w:r>
        <w:continuationSeparator/>
      </w:r>
    </w:p>
  </w:endnote>
  <w:endnote w:type="continuationNotice" w:id="1">
    <w:p w14:paraId="10EC2499" w14:textId="77777777" w:rsidR="00DF6F71" w:rsidRDefault="00DF6F71"/>
  </w:endnote>
  <w:endnote w:id="2">
    <w:p w14:paraId="24985F79" w14:textId="77777777" w:rsidR="00E62BCD" w:rsidRDefault="00000000">
      <w:pPr>
        <w:pStyle w:val="EndnoteText"/>
      </w:pPr>
      <w:r>
        <w:rPr>
          <w:vertAlign w:val="superscript"/>
        </w:rPr>
        <w:endnoteRef/>
      </w:r>
      <w:r>
        <w:t xml:space="preserve"> </w:t>
      </w:r>
      <w:r>
        <w:rPr>
          <w:sz w:val="20"/>
          <w:szCs w:val="20"/>
        </w:rPr>
        <w:t xml:space="preserve">OGC Technical Committee, </w:t>
      </w:r>
      <w:proofErr w:type="spellStart"/>
      <w:r>
        <w:rPr>
          <w:sz w:val="20"/>
          <w:szCs w:val="20"/>
          <w:lang w:val="es-ES_tradnl"/>
        </w:rPr>
        <w:t>testbed</w:t>
      </w:r>
      <w:proofErr w:type="spellEnd"/>
      <w:r>
        <w:rPr>
          <w:sz w:val="20"/>
          <w:szCs w:val="20"/>
          <w:lang w:val="es-ES_tradnl"/>
        </w:rPr>
        <w:t xml:space="preserve"> 19,20</w:t>
      </w:r>
    </w:p>
  </w:endnote>
  <w:endnote w:id="3">
    <w:p w14:paraId="04936074" w14:textId="77777777" w:rsidR="00E62BCD" w:rsidRDefault="00000000">
      <w:pPr>
        <w:pStyle w:val="EndnoteText"/>
        <w:rPr>
          <w:sz w:val="20"/>
          <w:szCs w:val="20"/>
        </w:rPr>
      </w:pPr>
      <w:r>
        <w:rPr>
          <w:vertAlign w:val="superscript"/>
        </w:rPr>
        <w:endnoteRef/>
      </w:r>
      <w:r>
        <w:rPr>
          <w:sz w:val="20"/>
          <w:szCs w:val="20"/>
        </w:rPr>
        <w:t xml:space="preserve"> OGC Discussion Papers, </w:t>
      </w:r>
      <w:proofErr w:type="spellStart"/>
      <w:r>
        <w:rPr>
          <w:sz w:val="20"/>
          <w:szCs w:val="20"/>
          <w:lang w:val="es-ES_tradnl"/>
        </w:rPr>
        <w:t>testbed</w:t>
      </w:r>
      <w:proofErr w:type="spellEnd"/>
      <w:r>
        <w:rPr>
          <w:sz w:val="20"/>
          <w:szCs w:val="20"/>
          <w:lang w:val="es-ES_tradnl"/>
        </w:rPr>
        <w:t xml:space="preserve"> 20</w:t>
      </w:r>
    </w:p>
    <w:p w14:paraId="24E7FE29" w14:textId="77777777" w:rsidR="00E62BCD" w:rsidRDefault="00000000">
      <w:pPr>
        <w:pStyle w:val="DidefaultA"/>
        <w:spacing w:before="0" w:after="364" w:line="240" w:lineRule="auto"/>
        <w:rPr>
          <w:rFonts w:ascii="Helvetica" w:eastAsia="Helvetica" w:hAnsi="Helvetica" w:cs="Helvetica"/>
          <w:sz w:val="20"/>
          <w:szCs w:val="20"/>
          <w:shd w:val="clear" w:color="auto" w:fill="FFFFFF"/>
        </w:rPr>
      </w:pPr>
      <w:r>
        <w:rPr>
          <w:rFonts w:ascii="Helvetica" w:hAnsi="Helvetica"/>
          <w:sz w:val="20"/>
          <w:szCs w:val="20"/>
          <w:shd w:val="clear" w:color="auto" w:fill="FFFFFF"/>
        </w:rPr>
        <w:t xml:space="preserve"> </w:t>
      </w:r>
    </w:p>
    <w:p w14:paraId="730E3153" w14:textId="77777777" w:rsidR="00E62BCD" w:rsidRDefault="00000000">
      <w:pPr>
        <w:pStyle w:val="DidefaultA"/>
        <w:spacing w:before="0" w:after="364" w:line="240" w:lineRule="auto"/>
        <w:rPr>
          <w:rFonts w:ascii="Helvetica" w:eastAsia="Helvetica" w:hAnsi="Helvetica" w:cs="Helvetica"/>
          <w:sz w:val="20"/>
          <w:szCs w:val="20"/>
          <w:shd w:val="clear" w:color="auto" w:fill="FFFFFF"/>
        </w:rPr>
      </w:pPr>
      <w:r>
        <w:rPr>
          <w:rFonts w:ascii="Helvetica" w:hAnsi="Helvetica"/>
          <w:sz w:val="20"/>
          <w:szCs w:val="20"/>
          <w:shd w:val="clear" w:color="auto" w:fill="FFFFFF"/>
        </w:rPr>
        <w:t>PROV-DM: The PROV Data Model</w:t>
      </w:r>
      <w:r>
        <w:rPr>
          <w:rFonts w:ascii="Helvetica" w:hAnsi="Helvetica"/>
          <w:sz w:val="20"/>
          <w:szCs w:val="20"/>
          <w:shd w:val="clear" w:color="auto" w:fill="FFFFFF"/>
          <w:lang w:val="es-ES_tradnl"/>
        </w:rPr>
        <w:t xml:space="preserve"> </w:t>
      </w:r>
      <w:r w:rsidRPr="00384E78">
        <w:rPr>
          <w:rFonts w:ascii="Helvetica" w:hAnsi="Helvetica"/>
          <w:sz w:val="20"/>
          <w:szCs w:val="20"/>
          <w:u w:val="single"/>
          <w:shd w:val="clear" w:color="auto" w:fill="FFFFFF"/>
        </w:rPr>
        <w:t>W3C</w:t>
      </w:r>
      <w:r>
        <w:rPr>
          <w:rFonts w:ascii="Helvetica" w:hAnsi="Helvetica"/>
          <w:sz w:val="20"/>
          <w:szCs w:val="20"/>
          <w:shd w:val="clear" w:color="auto" w:fill="FFFFFF"/>
        </w:rPr>
        <w:t xml:space="preserve"> Recommendation 30 April 2013</w:t>
      </w:r>
      <w:r>
        <w:rPr>
          <w:rFonts w:ascii="Helvetica" w:hAnsi="Helvetica"/>
          <w:sz w:val="20"/>
          <w:szCs w:val="20"/>
          <w:shd w:val="clear" w:color="auto" w:fill="FFFFFF"/>
          <w:lang w:val="es-ES_tradnl"/>
        </w:rPr>
        <w:t xml:space="preserve"> </w:t>
      </w:r>
    </w:p>
    <w:p w14:paraId="02873378" w14:textId="77777777" w:rsidR="00E62BCD" w:rsidRDefault="00000000">
      <w:pPr>
        <w:pStyle w:val="DidefaultA"/>
        <w:spacing w:before="0" w:after="364" w:line="240" w:lineRule="auto"/>
        <w:rPr>
          <w:rFonts w:ascii="Helvetica" w:eastAsia="Helvetica" w:hAnsi="Helvetica" w:cs="Helvetica"/>
          <w:sz w:val="20"/>
          <w:szCs w:val="20"/>
          <w:shd w:val="clear" w:color="auto" w:fill="FFFFFF"/>
          <w:lang w:val="es-ES_tradnl"/>
        </w:rPr>
      </w:pPr>
      <w:r>
        <w:rPr>
          <w:rFonts w:ascii="Helvetica" w:hAnsi="Helvetica"/>
          <w:sz w:val="20"/>
          <w:szCs w:val="20"/>
          <w:shd w:val="clear" w:color="auto" w:fill="FFFFFF"/>
          <w:lang w:val="es-ES_tradnl"/>
        </w:rPr>
        <w:t xml:space="preserve">PROV-XML </w:t>
      </w:r>
      <w:proofErr w:type="spellStart"/>
      <w:r>
        <w:rPr>
          <w:rFonts w:ascii="Helvetica" w:hAnsi="Helvetica"/>
          <w:sz w:val="20"/>
          <w:szCs w:val="20"/>
          <w:shd w:val="clear" w:color="auto" w:fill="FFFFFF"/>
          <w:lang w:val="es-ES_tradnl"/>
        </w:rPr>
        <w:t>The</w:t>
      </w:r>
      <w:proofErr w:type="spellEnd"/>
      <w:r>
        <w:rPr>
          <w:rFonts w:ascii="Helvetica" w:hAnsi="Helvetica"/>
          <w:sz w:val="20"/>
          <w:szCs w:val="20"/>
          <w:shd w:val="clear" w:color="auto" w:fill="FFFFFF"/>
          <w:lang w:val="es-ES_tradnl"/>
        </w:rPr>
        <w:t xml:space="preserve"> PROV XML </w:t>
      </w:r>
      <w:proofErr w:type="spellStart"/>
      <w:r>
        <w:rPr>
          <w:rFonts w:ascii="Helvetica" w:hAnsi="Helvetica"/>
          <w:sz w:val="20"/>
          <w:szCs w:val="20"/>
          <w:shd w:val="clear" w:color="auto" w:fill="FFFFFF"/>
          <w:lang w:val="es-ES_tradnl"/>
        </w:rPr>
        <w:t>Schema</w:t>
      </w:r>
      <w:proofErr w:type="spellEnd"/>
    </w:p>
    <w:p w14:paraId="17CE2EE1" w14:textId="77777777" w:rsidR="00E62BCD" w:rsidRDefault="00000000">
      <w:pPr>
        <w:pStyle w:val="DidefaultA"/>
        <w:spacing w:before="0" w:after="364" w:line="240" w:lineRule="auto"/>
        <w:rPr>
          <w:rFonts w:ascii="Helvetica" w:eastAsia="Helvetica" w:hAnsi="Helvetica" w:cs="Helvetica"/>
          <w:sz w:val="20"/>
          <w:szCs w:val="20"/>
          <w:shd w:val="clear" w:color="auto" w:fill="FFFFFF"/>
          <w:lang w:val="es-ES_tradnl"/>
        </w:rPr>
      </w:pPr>
      <w:proofErr w:type="spellStart"/>
      <w:r>
        <w:rPr>
          <w:rFonts w:ascii="Helvetica" w:hAnsi="Helvetica"/>
          <w:sz w:val="20"/>
          <w:szCs w:val="20"/>
          <w:shd w:val="clear" w:color="auto" w:fill="FFFFFF"/>
          <w:lang w:val="es-ES_tradnl"/>
        </w:rPr>
        <w:t>Coalition</w:t>
      </w:r>
      <w:proofErr w:type="spellEnd"/>
      <w:r>
        <w:rPr>
          <w:rFonts w:ascii="Helvetica" w:hAnsi="Helvetica"/>
          <w:sz w:val="20"/>
          <w:szCs w:val="20"/>
          <w:shd w:val="clear" w:color="auto" w:fill="FFFFFF"/>
          <w:lang w:val="es-ES_tradnl"/>
        </w:rPr>
        <w:t xml:space="preserve"> </w:t>
      </w:r>
      <w:proofErr w:type="spellStart"/>
      <w:r>
        <w:rPr>
          <w:rFonts w:ascii="Helvetica" w:hAnsi="Helvetica"/>
          <w:sz w:val="20"/>
          <w:szCs w:val="20"/>
          <w:shd w:val="clear" w:color="auto" w:fill="FFFFFF"/>
          <w:lang w:val="es-ES_tradnl"/>
        </w:rPr>
        <w:t>for</w:t>
      </w:r>
      <w:proofErr w:type="spellEnd"/>
      <w:r>
        <w:rPr>
          <w:rFonts w:ascii="Helvetica" w:hAnsi="Helvetica"/>
          <w:sz w:val="20"/>
          <w:szCs w:val="20"/>
          <w:shd w:val="clear" w:color="auto" w:fill="FFFFFF"/>
          <w:lang w:val="es-ES_tradnl"/>
        </w:rPr>
        <w:t xml:space="preserve"> Content </w:t>
      </w:r>
      <w:proofErr w:type="spellStart"/>
      <w:r>
        <w:rPr>
          <w:rFonts w:ascii="Helvetica" w:hAnsi="Helvetica"/>
          <w:sz w:val="20"/>
          <w:szCs w:val="20"/>
          <w:shd w:val="clear" w:color="auto" w:fill="FFFFFF"/>
          <w:lang w:val="es-ES_tradnl"/>
        </w:rPr>
        <w:t>Provenance</w:t>
      </w:r>
      <w:proofErr w:type="spellEnd"/>
      <w:r>
        <w:rPr>
          <w:rFonts w:ascii="Helvetica" w:hAnsi="Helvetica"/>
          <w:sz w:val="20"/>
          <w:szCs w:val="20"/>
          <w:shd w:val="clear" w:color="auto" w:fill="FFFFFF"/>
          <w:lang w:val="es-ES_tradnl"/>
        </w:rPr>
        <w:t xml:space="preserve"> and </w:t>
      </w:r>
      <w:proofErr w:type="spellStart"/>
      <w:r>
        <w:rPr>
          <w:rFonts w:ascii="Helvetica" w:hAnsi="Helvetica"/>
          <w:sz w:val="20"/>
          <w:szCs w:val="20"/>
          <w:shd w:val="clear" w:color="auto" w:fill="FFFFFF"/>
          <w:lang w:val="es-ES_tradnl"/>
        </w:rPr>
        <w:t>Authentiicy</w:t>
      </w:r>
      <w:proofErr w:type="spellEnd"/>
      <w:r>
        <w:rPr>
          <w:rFonts w:ascii="Helvetica" w:hAnsi="Helvetica"/>
          <w:sz w:val="20"/>
          <w:szCs w:val="20"/>
          <w:shd w:val="clear" w:color="auto" w:fill="FFFFFF"/>
          <w:lang w:val="es-ES_tradnl"/>
        </w:rPr>
        <w:t xml:space="preserve">: </w:t>
      </w:r>
      <w:hyperlink r:id="rId1" w:history="1">
        <w:r w:rsidR="00E62BCD">
          <w:rPr>
            <w:rStyle w:val="Hyperlink0"/>
            <w:rFonts w:ascii="Helvetica" w:hAnsi="Helvetica"/>
          </w:rPr>
          <w:t>https://c2pa.org/</w:t>
        </w:r>
      </w:hyperlink>
      <w:r>
        <w:rPr>
          <w:rFonts w:ascii="Helvetica" w:hAnsi="Helvetica"/>
          <w:sz w:val="20"/>
          <w:szCs w:val="20"/>
          <w:shd w:val="clear" w:color="auto" w:fill="FFFFFF"/>
          <w:lang w:val="es-ES_tradnl"/>
        </w:rPr>
        <w:t xml:space="preserve"> </w:t>
      </w:r>
    </w:p>
    <w:p w14:paraId="5BE92EA1" w14:textId="77777777" w:rsidR="00E62BCD" w:rsidRDefault="00000000">
      <w:pPr>
        <w:pStyle w:val="DidefaultA"/>
        <w:spacing w:before="0" w:after="364" w:line="240" w:lineRule="auto"/>
        <w:rPr>
          <w:rFonts w:ascii="Helvetica" w:eastAsia="Helvetica" w:hAnsi="Helvetica" w:cs="Helvetica"/>
          <w:sz w:val="20"/>
          <w:szCs w:val="20"/>
          <w:shd w:val="clear" w:color="auto" w:fill="FFFFFF"/>
          <w:lang w:val="es-ES_tradnl"/>
        </w:rPr>
      </w:pPr>
      <w:proofErr w:type="spellStart"/>
      <w:r>
        <w:rPr>
          <w:rFonts w:ascii="Helvetica" w:hAnsi="Helvetica"/>
          <w:sz w:val="20"/>
          <w:szCs w:val="20"/>
          <w:shd w:val="clear" w:color="auto" w:fill="FFFFFF"/>
          <w:lang w:val="es-ES_tradnl"/>
        </w:rPr>
        <w:t>Creator</w:t>
      </w:r>
      <w:proofErr w:type="spellEnd"/>
      <w:r>
        <w:rPr>
          <w:rFonts w:ascii="Helvetica" w:hAnsi="Helvetica"/>
          <w:sz w:val="20"/>
          <w:szCs w:val="20"/>
          <w:shd w:val="clear" w:color="auto" w:fill="FFFFFF"/>
          <w:lang w:val="es-ES_tradnl"/>
        </w:rPr>
        <w:t xml:space="preserve"> </w:t>
      </w:r>
      <w:proofErr w:type="spellStart"/>
      <w:r>
        <w:rPr>
          <w:rFonts w:ascii="Helvetica" w:hAnsi="Helvetica"/>
          <w:sz w:val="20"/>
          <w:szCs w:val="20"/>
          <w:shd w:val="clear" w:color="auto" w:fill="FFFFFF"/>
          <w:lang w:val="es-ES_tradnl"/>
        </w:rPr>
        <w:t>Assertions</w:t>
      </w:r>
      <w:proofErr w:type="spellEnd"/>
      <w:r>
        <w:rPr>
          <w:rFonts w:ascii="Helvetica" w:hAnsi="Helvetica"/>
          <w:sz w:val="20"/>
          <w:szCs w:val="20"/>
          <w:shd w:val="clear" w:color="auto" w:fill="FFFFFF"/>
          <w:lang w:val="es-ES_tradnl"/>
        </w:rPr>
        <w:t xml:space="preserve"> </w:t>
      </w:r>
      <w:proofErr w:type="spellStart"/>
      <w:r>
        <w:rPr>
          <w:rFonts w:ascii="Helvetica" w:hAnsi="Helvetica"/>
          <w:sz w:val="20"/>
          <w:szCs w:val="20"/>
          <w:shd w:val="clear" w:color="auto" w:fill="FFFFFF"/>
          <w:lang w:val="es-ES_tradnl"/>
        </w:rPr>
        <w:t>Working</w:t>
      </w:r>
      <w:proofErr w:type="spellEnd"/>
      <w:r>
        <w:rPr>
          <w:rFonts w:ascii="Helvetica" w:hAnsi="Helvetica"/>
          <w:sz w:val="20"/>
          <w:szCs w:val="20"/>
          <w:shd w:val="clear" w:color="auto" w:fill="FFFFFF"/>
          <w:lang w:val="es-ES_tradnl"/>
        </w:rPr>
        <w:t xml:space="preserve"> </w:t>
      </w:r>
      <w:proofErr w:type="spellStart"/>
      <w:r>
        <w:rPr>
          <w:rFonts w:ascii="Helvetica" w:hAnsi="Helvetica"/>
          <w:sz w:val="20"/>
          <w:szCs w:val="20"/>
          <w:shd w:val="clear" w:color="auto" w:fill="FFFFFF"/>
          <w:lang w:val="es-ES_tradnl"/>
        </w:rPr>
        <w:t>Group</w:t>
      </w:r>
      <w:proofErr w:type="spellEnd"/>
      <w:r>
        <w:rPr>
          <w:rFonts w:ascii="Helvetica" w:hAnsi="Helvetica"/>
          <w:sz w:val="20"/>
          <w:szCs w:val="20"/>
          <w:shd w:val="clear" w:color="auto" w:fill="FFFFFF"/>
          <w:lang w:val="es-ES_tradnl"/>
        </w:rPr>
        <w:t xml:space="preserve">: </w:t>
      </w:r>
      <w:hyperlink r:id="rId2" w:history="1">
        <w:r w:rsidR="00E62BCD">
          <w:rPr>
            <w:rStyle w:val="Hyperlink0"/>
            <w:rFonts w:ascii="Helvetica" w:hAnsi="Helvetica"/>
          </w:rPr>
          <w:t>https://cawg.io/</w:t>
        </w:r>
      </w:hyperlink>
      <w:r>
        <w:rPr>
          <w:rFonts w:ascii="Helvetica" w:hAnsi="Helvetica"/>
          <w:sz w:val="20"/>
          <w:szCs w:val="20"/>
          <w:shd w:val="clear" w:color="auto" w:fill="FFFFFF"/>
          <w:lang w:val="es-ES_tradnl"/>
        </w:rPr>
        <w:t xml:space="preserve"> </w:t>
      </w:r>
    </w:p>
    <w:p w14:paraId="1BAEAC82" w14:textId="77777777" w:rsidR="00E62BCD" w:rsidRDefault="00000000">
      <w:pPr>
        <w:pStyle w:val="DidefaultA"/>
        <w:spacing w:before="0" w:after="364" w:line="240" w:lineRule="auto"/>
        <w:rPr>
          <w:rFonts w:ascii="Helvetica" w:eastAsia="Helvetica" w:hAnsi="Helvetica" w:cs="Helvetica"/>
          <w:sz w:val="20"/>
          <w:szCs w:val="20"/>
          <w:shd w:val="clear" w:color="auto" w:fill="FFFFFF"/>
          <w:lang w:val="es-ES_tradnl"/>
        </w:rPr>
      </w:pPr>
      <w:proofErr w:type="spellStart"/>
      <w:r>
        <w:rPr>
          <w:rFonts w:ascii="Helvetica" w:hAnsi="Helvetica"/>
          <w:sz w:val="20"/>
          <w:szCs w:val="20"/>
          <w:shd w:val="clear" w:color="auto" w:fill="FFFFFF"/>
          <w:lang w:val="es-ES_tradnl"/>
        </w:rPr>
        <w:t>Entities</w:t>
      </w:r>
      <w:proofErr w:type="spellEnd"/>
      <w:r>
        <w:rPr>
          <w:rFonts w:ascii="Helvetica" w:hAnsi="Helvetica"/>
          <w:sz w:val="20"/>
          <w:szCs w:val="20"/>
          <w:shd w:val="clear" w:color="auto" w:fill="FFFFFF"/>
          <w:lang w:val="es-ES_tradnl"/>
        </w:rPr>
        <w:t xml:space="preserve"> and </w:t>
      </w:r>
      <w:proofErr w:type="spellStart"/>
      <w:r>
        <w:rPr>
          <w:rFonts w:ascii="Helvetica" w:hAnsi="Helvetica"/>
          <w:sz w:val="20"/>
          <w:szCs w:val="20"/>
          <w:shd w:val="clear" w:color="auto" w:fill="FFFFFF"/>
          <w:lang w:val="es-ES_tradnl"/>
        </w:rPr>
        <w:t>activities</w:t>
      </w:r>
      <w:proofErr w:type="spellEnd"/>
      <w:r>
        <w:rPr>
          <w:rFonts w:ascii="Helvetica" w:hAnsi="Helvetica"/>
          <w:sz w:val="20"/>
          <w:szCs w:val="20"/>
          <w:shd w:val="clear" w:color="auto" w:fill="FFFFFF"/>
          <w:lang w:val="es-ES_tradnl"/>
        </w:rPr>
        <w:t xml:space="preserve"> </w:t>
      </w:r>
      <w:proofErr w:type="spellStart"/>
      <w:r>
        <w:rPr>
          <w:rFonts w:ascii="Helvetica" w:hAnsi="Helvetica"/>
          <w:sz w:val="20"/>
          <w:szCs w:val="20"/>
          <w:shd w:val="clear" w:color="auto" w:fill="FFFFFF"/>
          <w:lang w:val="es-ES_tradnl"/>
        </w:rPr>
        <w:t>component</w:t>
      </w:r>
      <w:proofErr w:type="spellEnd"/>
      <w:r>
        <w:rPr>
          <w:rFonts w:ascii="Helvetica" w:hAnsi="Helvetica"/>
          <w:sz w:val="20"/>
          <w:szCs w:val="20"/>
          <w:shd w:val="clear" w:color="auto" w:fill="FFFFFF"/>
          <w:lang w:val="es-ES_tradnl"/>
        </w:rPr>
        <w:t xml:space="preserve"> </w:t>
      </w:r>
      <w:proofErr w:type="spellStart"/>
      <w:r>
        <w:rPr>
          <w:rFonts w:ascii="Helvetica" w:hAnsi="Helvetica"/>
          <w:sz w:val="20"/>
          <w:szCs w:val="20"/>
          <w:shd w:val="clear" w:color="auto" w:fill="FFFFFF"/>
          <w:lang w:val="es-ES_tradnl"/>
        </w:rPr>
        <w:t>overview</w:t>
      </w:r>
      <w:proofErr w:type="spellEnd"/>
    </w:p>
    <w:p w14:paraId="171CBEC9" w14:textId="77777777" w:rsidR="00E62BCD" w:rsidRDefault="00000000">
      <w:pPr>
        <w:pStyle w:val="DidefaultA"/>
        <w:spacing w:before="0" w:after="364" w:line="240" w:lineRule="auto"/>
      </w:pPr>
      <w:r>
        <w:rPr>
          <w:rFonts w:ascii="Helvetica" w:eastAsia="Helvetica" w:hAnsi="Helvetica" w:cs="Helvetica"/>
          <w:noProof/>
          <w:sz w:val="20"/>
          <w:szCs w:val="20"/>
          <w:shd w:val="clear" w:color="auto" w:fill="FFFFFF"/>
        </w:rPr>
        <w:drawing>
          <wp:inline distT="0" distB="0" distL="0" distR="0" wp14:anchorId="776052E6" wp14:editId="45592775">
            <wp:extent cx="5486400" cy="4068567"/>
            <wp:effectExtent l="0" t="0" r="0" b="0"/>
            <wp:docPr id="691037063" name="officeArt object"/>
            <wp:cNvGraphicFramePr/>
            <a:graphic xmlns:a="http://schemas.openxmlformats.org/drawingml/2006/main">
              <a:graphicData uri="http://schemas.openxmlformats.org/drawingml/2006/picture">
                <pic:pic xmlns:pic="http://schemas.openxmlformats.org/drawingml/2006/picture">
                  <pic:nvPicPr>
                    <pic:cNvPr id="1073741825" name=""/>
                    <pic:cNvPicPr>
                      <a:picLocks/>
                    </pic:cNvPicPr>
                  </pic:nvPicPr>
                  <pic:blipFill>
                    <a:blip r:embed="rId3"/>
                    <a:stretch>
                      <a:fillRect/>
                    </a:stretch>
                  </pic:blipFill>
                  <pic:spPr>
                    <a:xfrm>
                      <a:off x="0" y="0"/>
                      <a:ext cx="5486400" cy="4068567"/>
                    </a:xfrm>
                    <a:prstGeom prst="rect">
                      <a:avLst/>
                    </a:prstGeom>
                  </pic:spPr>
                </pic:pic>
              </a:graphicData>
            </a:graphic>
          </wp:inline>
        </w:drawing>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ymbol">
    <w:panose1 w:val="05050102010706020507"/>
    <w:charset w:val="02"/>
    <w:family w:val="decorative"/>
    <w:pitch w:val="variable"/>
    <w:sig w:usb0="00000000" w:usb1="10000000" w:usb2="00000000" w:usb3="00000000" w:csb0="80000000" w:csb1="00000000"/>
  </w:font>
  <w:font w:name="Helvetica Neue">
    <w:panose1 w:val="02000503000000020004"/>
    <w:charset w:val="00"/>
    <w:family w:val="auto"/>
    <w:pitch w:val="variable"/>
    <w:sig w:usb0="E50002FF" w:usb1="500079DB" w:usb2="00000010" w:usb3="00000000" w:csb0="00000001" w:csb1="00000000"/>
  </w:font>
  <w:font w:name="Arial">
    <w:panose1 w:val="020B0604020202020204"/>
    <w:charset w:val="00"/>
    <w:family w:val="swiss"/>
    <w:pitch w:val="variable"/>
    <w:sig w:usb0="E0002AFF" w:usb1="C0007843"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B8E35A" w14:textId="77777777" w:rsidR="00E62BCD" w:rsidRDefault="00E62BCD">
    <w:pPr>
      <w:pStyle w:val="Footer"/>
      <w:tabs>
        <w:tab w:val="clear" w:pos="8640"/>
        <w:tab w:val="right" w:pos="8620"/>
      </w:tabs>
    </w:pPr>
  </w:p>
  <w:p w14:paraId="4FF696D6" w14:textId="77777777" w:rsidR="00E62BCD" w:rsidRDefault="00000000">
    <w:pPr>
      <w:pStyle w:val="Footer"/>
      <w:tabs>
        <w:tab w:val="clear" w:pos="8640"/>
        <w:tab w:val="right" w:pos="8620"/>
      </w:tabs>
    </w:pPr>
    <w:r>
      <w:rPr>
        <w:b/>
        <w:bCs/>
        <w:sz w:val="18"/>
        <w:szCs w:val="18"/>
      </w:rPr>
      <w:t xml:space="preserve">Open Geospatial Consortium </w:t>
    </w:r>
    <w:proofErr w:type="spellStart"/>
    <w:r>
      <w:rPr>
        <w:b/>
        <w:bCs/>
        <w:sz w:val="18"/>
        <w:szCs w:val="18"/>
        <w:lang w:val="es-ES_tradnl"/>
      </w:rPr>
      <w:t>Provenance</w:t>
    </w:r>
    <w:proofErr w:type="spellEnd"/>
    <w:r>
      <w:rPr>
        <w:b/>
        <w:bCs/>
        <w:sz w:val="18"/>
        <w:szCs w:val="18"/>
      </w:rPr>
      <w:t xml:space="preserve"> DWG Charter     OGC </w:t>
    </w:r>
    <w:r>
      <w:rPr>
        <w:sz w:val="18"/>
        <w:szCs w:val="18"/>
        <w:lang w:val="es-ES_tradnl"/>
      </w:rPr>
      <w:t>25-041r1</w:t>
    </w:r>
    <w:r>
      <w:rPr>
        <w:b/>
        <w:bCs/>
      </w:rPr>
      <w:tab/>
      <w:t xml:space="preserve">Page </w:t>
    </w:r>
    <w:r>
      <w:rPr>
        <w:b/>
        <w:bCs/>
      </w:rPr>
      <w:fldChar w:fldCharType="begin"/>
    </w:r>
    <w:r>
      <w:rPr>
        <w:b/>
        <w:bCs/>
      </w:rPr>
      <w:instrText xml:space="preserve"> PAGE </w:instrText>
    </w:r>
    <w:r>
      <w:rPr>
        <w:b/>
        <w:bCs/>
      </w:rPr>
      <w:fldChar w:fldCharType="separate"/>
    </w:r>
    <w:r w:rsidR="00384E78">
      <w:rPr>
        <w:b/>
        <w:bCs/>
        <w:noProof/>
      </w:rPr>
      <w:t>1</w:t>
    </w:r>
    <w:r>
      <w:rPr>
        <w:b/>
        <w:bC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2D241FE" w14:textId="77777777" w:rsidR="00DF6F71" w:rsidRDefault="00DF6F71">
      <w:r>
        <w:separator/>
      </w:r>
    </w:p>
  </w:footnote>
  <w:footnote w:type="continuationSeparator" w:id="0">
    <w:p w14:paraId="197B4AF0" w14:textId="77777777" w:rsidR="00DF6F71" w:rsidRDefault="00DF6F7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6E9B19" w14:textId="77777777" w:rsidR="00E62BCD" w:rsidRDefault="00E62BCD">
    <w:pPr>
      <w:pStyle w:val="Intestazioneepidipagina"/>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92C9F"/>
    <w:multiLevelType w:val="hybridMultilevel"/>
    <w:tmpl w:val="15D8439E"/>
    <w:styleLink w:val="Stileimportato11"/>
    <w:lvl w:ilvl="0" w:tplc="83C6CF52">
      <w:start w:val="1"/>
      <w:numFmt w:val="lowerLetter"/>
      <w:lvlText w:val="%1)"/>
      <w:lvlJc w:val="left"/>
      <w:pPr>
        <w:ind w:left="180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3448FDDC">
      <w:start w:val="1"/>
      <w:numFmt w:val="lowerLetter"/>
      <w:lvlText w:val="%2."/>
      <w:lvlJc w:val="left"/>
      <w:pPr>
        <w:ind w:left="252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AEB85462">
      <w:start w:val="1"/>
      <w:numFmt w:val="lowerRoman"/>
      <w:lvlText w:val="%3."/>
      <w:lvlJc w:val="left"/>
      <w:pPr>
        <w:ind w:left="324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9CBECCA6">
      <w:start w:val="1"/>
      <w:numFmt w:val="decimal"/>
      <w:lvlText w:val="%4."/>
      <w:lvlJc w:val="left"/>
      <w:pPr>
        <w:ind w:left="396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92CE7F50">
      <w:start w:val="1"/>
      <w:numFmt w:val="lowerLetter"/>
      <w:lvlText w:val="%5."/>
      <w:lvlJc w:val="left"/>
      <w:pPr>
        <w:ind w:left="468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718C10A">
      <w:start w:val="1"/>
      <w:numFmt w:val="lowerRoman"/>
      <w:lvlText w:val="%6."/>
      <w:lvlJc w:val="left"/>
      <w:pPr>
        <w:ind w:left="540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9948028">
      <w:start w:val="1"/>
      <w:numFmt w:val="decimal"/>
      <w:lvlText w:val="%7."/>
      <w:lvlJc w:val="left"/>
      <w:pPr>
        <w:ind w:left="612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E1226ACC">
      <w:start w:val="1"/>
      <w:numFmt w:val="lowerLetter"/>
      <w:lvlText w:val="%8."/>
      <w:lvlJc w:val="left"/>
      <w:pPr>
        <w:ind w:left="68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AFC00462">
      <w:start w:val="1"/>
      <w:numFmt w:val="lowerRoman"/>
      <w:lvlText w:val="%9."/>
      <w:lvlJc w:val="left"/>
      <w:pPr>
        <w:ind w:left="756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 w15:restartNumberingAfterBreak="0">
    <w:nsid w:val="06813EAE"/>
    <w:multiLevelType w:val="hybridMultilevel"/>
    <w:tmpl w:val="AC84D11E"/>
    <w:numStyleLink w:val="Stileimportato10"/>
  </w:abstractNum>
  <w:abstractNum w:abstractNumId="2" w15:restartNumberingAfterBreak="0">
    <w:nsid w:val="13E7302C"/>
    <w:multiLevelType w:val="hybridMultilevel"/>
    <w:tmpl w:val="7A8259FC"/>
    <w:styleLink w:val="Stileimportato4"/>
    <w:lvl w:ilvl="0" w:tplc="9DE26742">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CA4E92EC">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CF242D42">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83C478F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64882D6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788896A4">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A5B0D46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26DAD4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56767350">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3" w15:restartNumberingAfterBreak="0">
    <w:nsid w:val="1895469D"/>
    <w:multiLevelType w:val="hybridMultilevel"/>
    <w:tmpl w:val="B86EC458"/>
    <w:numStyleLink w:val="Stileimportato7"/>
  </w:abstractNum>
  <w:abstractNum w:abstractNumId="4" w15:restartNumberingAfterBreak="0">
    <w:nsid w:val="20A513E8"/>
    <w:multiLevelType w:val="hybridMultilevel"/>
    <w:tmpl w:val="9922213E"/>
    <w:styleLink w:val="Stileimportato3"/>
    <w:lvl w:ilvl="0" w:tplc="89D8B4EE">
      <w:start w:val="1"/>
      <w:numFmt w:val="bullet"/>
      <w:lvlText w:val="·"/>
      <w:lvlJc w:val="left"/>
      <w:pPr>
        <w:ind w:left="144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B5CA780E">
      <w:start w:val="1"/>
      <w:numFmt w:val="bullet"/>
      <w:lvlText w:val="o"/>
      <w:lvlJc w:val="left"/>
      <w:pPr>
        <w:ind w:left="216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11343D98">
      <w:start w:val="1"/>
      <w:numFmt w:val="bullet"/>
      <w:lvlText w:val="▪"/>
      <w:lvlJc w:val="left"/>
      <w:pPr>
        <w:ind w:left="28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5EA2CBDE">
      <w:start w:val="1"/>
      <w:numFmt w:val="bullet"/>
      <w:lvlText w:val="·"/>
      <w:lvlJc w:val="left"/>
      <w:pPr>
        <w:ind w:left="360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A0CAE8C4">
      <w:start w:val="1"/>
      <w:numFmt w:val="bullet"/>
      <w:lvlText w:val="o"/>
      <w:lvlJc w:val="left"/>
      <w:pPr>
        <w:ind w:left="432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31783264">
      <w:start w:val="1"/>
      <w:numFmt w:val="bullet"/>
      <w:lvlText w:val="▪"/>
      <w:lvlJc w:val="left"/>
      <w:pPr>
        <w:ind w:left="504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7D42CCFA">
      <w:start w:val="1"/>
      <w:numFmt w:val="bullet"/>
      <w:lvlText w:val="·"/>
      <w:lvlJc w:val="left"/>
      <w:pPr>
        <w:ind w:left="576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11460A62">
      <w:start w:val="1"/>
      <w:numFmt w:val="bullet"/>
      <w:lvlText w:val="o"/>
      <w:lvlJc w:val="left"/>
      <w:pPr>
        <w:ind w:left="648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B60433AE">
      <w:start w:val="1"/>
      <w:numFmt w:val="bullet"/>
      <w:lvlText w:val="▪"/>
      <w:lvlJc w:val="left"/>
      <w:pPr>
        <w:ind w:left="7200" w:hanging="360"/>
      </w:pPr>
      <w:rPr>
        <w:rFonts w:ascii="Arial Unicode MS" w:eastAsia="Arial Unicode MS" w:hAnsi="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5" w15:restartNumberingAfterBreak="0">
    <w:nsid w:val="2995639D"/>
    <w:multiLevelType w:val="hybridMultilevel"/>
    <w:tmpl w:val="15D8439E"/>
    <w:numStyleLink w:val="Stileimportato11"/>
  </w:abstractNum>
  <w:abstractNum w:abstractNumId="6" w15:restartNumberingAfterBreak="0">
    <w:nsid w:val="35565DAA"/>
    <w:multiLevelType w:val="hybridMultilevel"/>
    <w:tmpl w:val="7A8259FC"/>
    <w:numStyleLink w:val="Stileimportato4"/>
  </w:abstractNum>
  <w:abstractNum w:abstractNumId="7" w15:restartNumberingAfterBreak="0">
    <w:nsid w:val="394F4F85"/>
    <w:multiLevelType w:val="multilevel"/>
    <w:tmpl w:val="F298535E"/>
    <w:styleLink w:val="Stileimportato1"/>
    <w:lvl w:ilvl="0">
      <w:start w:val="1"/>
      <w:numFmt w:val="decimal"/>
      <w:suff w:val="nothing"/>
      <w:lvlText w:val="%1."/>
      <w:lvlJc w:val="left"/>
      <w:pPr>
        <w:ind w:left="156" w:hanging="156"/>
      </w:pPr>
      <w:rPr>
        <w:rFonts w:hAnsi="Arial Unicode MS"/>
        <w:b/>
        <w:bCs/>
        <w:caps w:val="0"/>
        <w:smallCaps w:val="0"/>
        <w:strike w:val="0"/>
        <w:dstrike w:val="0"/>
        <w:outline w:val="0"/>
        <w:emboss w:val="0"/>
        <w:imprint w:val="0"/>
        <w:spacing w:val="0"/>
        <w:w w:val="100"/>
        <w:kern w:val="0"/>
        <w:position w:val="0"/>
        <w:highlight w:val="none"/>
        <w:vertAlign w:val="baseline"/>
      </w:rPr>
    </w:lvl>
    <w:lvl w:ilvl="1">
      <w:start w:val="1"/>
      <w:numFmt w:val="decimal"/>
      <w:suff w:val="nothing"/>
      <w:lvlText w:val="%1.%2."/>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 w:ilvl="2">
      <w:start w:val="1"/>
      <w:numFmt w:val="decimal"/>
      <w:suff w:val="nothing"/>
      <w:lvlText w:val="%1.%2.%3."/>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 w:ilvl="3">
      <w:start w:val="1"/>
      <w:numFmt w:val="decimal"/>
      <w:suff w:val="nothing"/>
      <w:lvlText w:val="%1.%2.%3.%4."/>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 w:ilvl="4">
      <w:start w:val="1"/>
      <w:numFmt w:val="decimal"/>
      <w:suff w:val="nothing"/>
      <w:lvlText w:val="%1.%2.%3.%4.%5."/>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 w:ilvl="5">
      <w:start w:val="1"/>
      <w:numFmt w:val="decimal"/>
      <w:suff w:val="nothing"/>
      <w:lvlText w:val="%1.%2.%3.%4.%5.%6."/>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 w:ilvl="6">
      <w:start w:val="1"/>
      <w:numFmt w:val="decimal"/>
      <w:suff w:val="nothing"/>
      <w:lvlText w:val="%1.%2.%3.%4.%5.%6.%7."/>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 w:ilvl="7">
      <w:start w:val="1"/>
      <w:numFmt w:val="decimal"/>
      <w:suff w:val="nothing"/>
      <w:lvlText w:val="%1.%2.%3.%4.%5.%6.%7.%8."/>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 w:ilvl="8">
      <w:start w:val="1"/>
      <w:numFmt w:val="decimal"/>
      <w:suff w:val="nothing"/>
      <w:lvlText w:val="%1.%2.%3.%4.%5.%6.%7.%8.%9."/>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abstractNum>
  <w:abstractNum w:abstractNumId="8" w15:restartNumberingAfterBreak="0">
    <w:nsid w:val="48A934B2"/>
    <w:multiLevelType w:val="multilevel"/>
    <w:tmpl w:val="F298535E"/>
    <w:numStyleLink w:val="Stileimportato1"/>
  </w:abstractNum>
  <w:abstractNum w:abstractNumId="9" w15:restartNumberingAfterBreak="0">
    <w:nsid w:val="4F746041"/>
    <w:multiLevelType w:val="hybridMultilevel"/>
    <w:tmpl w:val="AC84D11E"/>
    <w:styleLink w:val="Stileimportato10"/>
    <w:lvl w:ilvl="0" w:tplc="1FB83598">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7E528A52">
      <w:start w:val="1"/>
      <w:numFmt w:val="decimal"/>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910E4AA">
      <w:start w:val="1"/>
      <w:numFmt w:val="decimal"/>
      <w:lvlText w:val="%3."/>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3" w:tplc="EFF88F7C">
      <w:start w:val="1"/>
      <w:numFmt w:val="decimal"/>
      <w:lvlText w:val="%4."/>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4E0315C">
      <w:start w:val="1"/>
      <w:numFmt w:val="decimal"/>
      <w:lvlText w:val="%5."/>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1E7CFFF8">
      <w:start w:val="1"/>
      <w:numFmt w:val="decimal"/>
      <w:lvlText w:val="%6."/>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6" w:tplc="83863120">
      <w:start w:val="1"/>
      <w:numFmt w:val="decimal"/>
      <w:lvlText w:val="%7."/>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EFCCB2C">
      <w:start w:val="1"/>
      <w:numFmt w:val="decimal"/>
      <w:lvlText w:val="%8."/>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E37811C2">
      <w:start w:val="1"/>
      <w:numFmt w:val="decimal"/>
      <w:lvlText w:val="%9."/>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0" w15:restartNumberingAfterBreak="0">
    <w:nsid w:val="50D41D6E"/>
    <w:multiLevelType w:val="hybridMultilevel"/>
    <w:tmpl w:val="6852A5B0"/>
    <w:styleLink w:val="Stileimportato12"/>
    <w:lvl w:ilvl="0" w:tplc="CF7412E6">
      <w:start w:val="1"/>
      <w:numFmt w:val="decimal"/>
      <w:lvlText w:val="%1."/>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67A0D148">
      <w:start w:val="1"/>
      <w:numFmt w:val="lowerLetter"/>
      <w:lvlText w:val="%2."/>
      <w:lvlJc w:val="left"/>
      <w:pPr>
        <w:ind w:left="216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5978C188">
      <w:start w:val="1"/>
      <w:numFmt w:val="lowerRoman"/>
      <w:lvlText w:val="%3."/>
      <w:lvlJc w:val="left"/>
      <w:pPr>
        <w:ind w:left="288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F9CA439C">
      <w:start w:val="1"/>
      <w:numFmt w:val="decimal"/>
      <w:lvlText w:val="%4."/>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26A630A0">
      <w:start w:val="1"/>
      <w:numFmt w:val="lowerLetter"/>
      <w:lvlText w:val="%5."/>
      <w:lvlJc w:val="left"/>
      <w:pPr>
        <w:ind w:left="432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BF1656E2">
      <w:start w:val="1"/>
      <w:numFmt w:val="lowerRoman"/>
      <w:lvlText w:val="%6."/>
      <w:lvlJc w:val="left"/>
      <w:pPr>
        <w:ind w:left="504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95101238">
      <w:start w:val="1"/>
      <w:numFmt w:val="decimal"/>
      <w:lvlText w:val="%7."/>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67A4749C">
      <w:start w:val="1"/>
      <w:numFmt w:val="lowerLetter"/>
      <w:lvlText w:val="%8."/>
      <w:lvlJc w:val="left"/>
      <w:pPr>
        <w:ind w:left="648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FEF6EA02">
      <w:start w:val="1"/>
      <w:numFmt w:val="lowerRoman"/>
      <w:lvlText w:val="%9."/>
      <w:lvlJc w:val="left"/>
      <w:pPr>
        <w:ind w:left="720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1" w15:restartNumberingAfterBreak="0">
    <w:nsid w:val="55031369"/>
    <w:multiLevelType w:val="hybridMultilevel"/>
    <w:tmpl w:val="A67A1CF0"/>
    <w:styleLink w:val="Stileimportato2"/>
    <w:lvl w:ilvl="0" w:tplc="920A1DFA">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B58B578">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4110835E">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1196E41E">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F9365322">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9D44CB68">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CE6475AE">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F6C6C012">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22DCBA06">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2" w15:restartNumberingAfterBreak="0">
    <w:nsid w:val="5AA52AC4"/>
    <w:multiLevelType w:val="hybridMultilevel"/>
    <w:tmpl w:val="B86EC458"/>
    <w:styleLink w:val="Stileimportato7"/>
    <w:lvl w:ilvl="0" w:tplc="ED268C70">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1D22050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2" w:tplc="0802894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3" w:tplc="55BA4EBE">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2EB074E6">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5" w:tplc="202EEBF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6" w:tplc="513016FC">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235039FA">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lvl w:ilvl="8" w:tplc="A37A0B58">
      <w:start w:val="1"/>
      <w:numFmt w:val="bullet"/>
      <w:lvlText w:val="·"/>
      <w:lvlJc w:val="left"/>
      <w:pPr>
        <w:ind w:left="1080" w:hanging="360"/>
      </w:pPr>
      <w:rPr>
        <w:rFonts w:ascii="Symbol" w:eastAsia="Symbol" w:hAnsi="Symbol" w:cs="Symbol"/>
        <w:b w:val="0"/>
        <w:bCs w:val="0"/>
        <w:i w:val="0"/>
        <w:iCs w:val="0"/>
        <w:caps w:val="0"/>
        <w:smallCaps w:val="0"/>
        <w:strike w:val="0"/>
        <w:dstrike w:val="0"/>
        <w:outline w:val="0"/>
        <w:emboss w:val="0"/>
        <w:imprint w:val="0"/>
        <w:spacing w:val="0"/>
        <w:w w:val="100"/>
        <w:kern w:val="0"/>
        <w:position w:val="0"/>
        <w:highlight w:val="none"/>
        <w:vertAlign w:val="baseline"/>
      </w:rPr>
    </w:lvl>
  </w:abstractNum>
  <w:abstractNum w:abstractNumId="13" w15:restartNumberingAfterBreak="0">
    <w:nsid w:val="5F83795D"/>
    <w:multiLevelType w:val="hybridMultilevel"/>
    <w:tmpl w:val="A67A1CF0"/>
    <w:numStyleLink w:val="Stileimportato2"/>
  </w:abstractNum>
  <w:abstractNum w:abstractNumId="14" w15:restartNumberingAfterBreak="0">
    <w:nsid w:val="6C7801D9"/>
    <w:multiLevelType w:val="hybridMultilevel"/>
    <w:tmpl w:val="0B2ABBD4"/>
    <w:numStyleLink w:val="Stileimportato5"/>
  </w:abstractNum>
  <w:abstractNum w:abstractNumId="15" w15:restartNumberingAfterBreak="0">
    <w:nsid w:val="74095C4F"/>
    <w:multiLevelType w:val="hybridMultilevel"/>
    <w:tmpl w:val="6852A5B0"/>
    <w:numStyleLink w:val="Stileimportato12"/>
  </w:abstractNum>
  <w:abstractNum w:abstractNumId="16" w15:restartNumberingAfterBreak="0">
    <w:nsid w:val="77792646"/>
    <w:multiLevelType w:val="hybridMultilevel"/>
    <w:tmpl w:val="0B2ABBD4"/>
    <w:styleLink w:val="Stileimportato5"/>
    <w:lvl w:ilvl="0" w:tplc="68B8D330">
      <w:start w:val="1"/>
      <w:numFmt w:val="decimal"/>
      <w:lvlText w:val="%1."/>
      <w:lvlJc w:val="left"/>
      <w:pPr>
        <w:ind w:left="720" w:hanging="360"/>
      </w:pPr>
      <w:rPr>
        <w:rFonts w:hAnsi="Arial Unicode MS"/>
        <w:caps w:val="0"/>
        <w:smallCaps w:val="0"/>
        <w:strike w:val="0"/>
        <w:dstrike w:val="0"/>
        <w:outline w:val="0"/>
        <w:emboss w:val="0"/>
        <w:imprint w:val="0"/>
        <w:spacing w:val="0"/>
        <w:w w:val="100"/>
        <w:kern w:val="0"/>
        <w:position w:val="0"/>
        <w:highlight w:val="none"/>
        <w:vertAlign w:val="baseline"/>
      </w:rPr>
    </w:lvl>
    <w:lvl w:ilvl="1" w:tplc="512C6354">
      <w:start w:val="1"/>
      <w:numFmt w:val="lowerLetter"/>
      <w:lvlText w:val="%2."/>
      <w:lvlJc w:val="left"/>
      <w:pPr>
        <w:ind w:left="1440" w:hanging="360"/>
      </w:pPr>
      <w:rPr>
        <w:rFonts w:hAnsi="Arial Unicode MS"/>
        <w:caps w:val="0"/>
        <w:smallCaps w:val="0"/>
        <w:strike w:val="0"/>
        <w:dstrike w:val="0"/>
        <w:outline w:val="0"/>
        <w:emboss w:val="0"/>
        <w:imprint w:val="0"/>
        <w:spacing w:val="0"/>
        <w:w w:val="100"/>
        <w:kern w:val="0"/>
        <w:position w:val="0"/>
        <w:highlight w:val="none"/>
        <w:vertAlign w:val="baseline"/>
      </w:rPr>
    </w:lvl>
    <w:lvl w:ilvl="2" w:tplc="0C00A5DE">
      <w:start w:val="1"/>
      <w:numFmt w:val="lowerRoman"/>
      <w:lvlText w:val="%3."/>
      <w:lvlJc w:val="left"/>
      <w:pPr>
        <w:ind w:left="2160" w:hanging="280"/>
      </w:pPr>
      <w:rPr>
        <w:rFonts w:hAnsi="Arial Unicode MS"/>
        <w:caps w:val="0"/>
        <w:smallCaps w:val="0"/>
        <w:strike w:val="0"/>
        <w:dstrike w:val="0"/>
        <w:outline w:val="0"/>
        <w:emboss w:val="0"/>
        <w:imprint w:val="0"/>
        <w:spacing w:val="0"/>
        <w:w w:val="100"/>
        <w:kern w:val="0"/>
        <w:position w:val="0"/>
        <w:highlight w:val="none"/>
        <w:vertAlign w:val="baseline"/>
      </w:rPr>
    </w:lvl>
    <w:lvl w:ilvl="3" w:tplc="AAC6F4B8">
      <w:start w:val="1"/>
      <w:numFmt w:val="decimal"/>
      <w:lvlText w:val="%4."/>
      <w:lvlJc w:val="left"/>
      <w:pPr>
        <w:ind w:left="2880" w:hanging="360"/>
      </w:pPr>
      <w:rPr>
        <w:rFonts w:hAnsi="Arial Unicode MS"/>
        <w:caps w:val="0"/>
        <w:smallCaps w:val="0"/>
        <w:strike w:val="0"/>
        <w:dstrike w:val="0"/>
        <w:outline w:val="0"/>
        <w:emboss w:val="0"/>
        <w:imprint w:val="0"/>
        <w:spacing w:val="0"/>
        <w:w w:val="100"/>
        <w:kern w:val="0"/>
        <w:position w:val="0"/>
        <w:highlight w:val="none"/>
        <w:vertAlign w:val="baseline"/>
      </w:rPr>
    </w:lvl>
    <w:lvl w:ilvl="4" w:tplc="020A9A40">
      <w:start w:val="1"/>
      <w:numFmt w:val="lowerLetter"/>
      <w:lvlText w:val="%5."/>
      <w:lvlJc w:val="left"/>
      <w:pPr>
        <w:ind w:left="3600" w:hanging="360"/>
      </w:pPr>
      <w:rPr>
        <w:rFonts w:hAnsi="Arial Unicode MS"/>
        <w:caps w:val="0"/>
        <w:smallCaps w:val="0"/>
        <w:strike w:val="0"/>
        <w:dstrike w:val="0"/>
        <w:outline w:val="0"/>
        <w:emboss w:val="0"/>
        <w:imprint w:val="0"/>
        <w:spacing w:val="0"/>
        <w:w w:val="100"/>
        <w:kern w:val="0"/>
        <w:position w:val="0"/>
        <w:highlight w:val="none"/>
        <w:vertAlign w:val="baseline"/>
      </w:rPr>
    </w:lvl>
    <w:lvl w:ilvl="5" w:tplc="202C99AE">
      <w:start w:val="1"/>
      <w:numFmt w:val="lowerRoman"/>
      <w:lvlText w:val="%6."/>
      <w:lvlJc w:val="left"/>
      <w:pPr>
        <w:ind w:left="4320" w:hanging="280"/>
      </w:pPr>
      <w:rPr>
        <w:rFonts w:hAnsi="Arial Unicode MS"/>
        <w:caps w:val="0"/>
        <w:smallCaps w:val="0"/>
        <w:strike w:val="0"/>
        <w:dstrike w:val="0"/>
        <w:outline w:val="0"/>
        <w:emboss w:val="0"/>
        <w:imprint w:val="0"/>
        <w:spacing w:val="0"/>
        <w:w w:val="100"/>
        <w:kern w:val="0"/>
        <w:position w:val="0"/>
        <w:highlight w:val="none"/>
        <w:vertAlign w:val="baseline"/>
      </w:rPr>
    </w:lvl>
    <w:lvl w:ilvl="6" w:tplc="2E40A0F0">
      <w:start w:val="1"/>
      <w:numFmt w:val="decimal"/>
      <w:lvlText w:val="%7."/>
      <w:lvlJc w:val="left"/>
      <w:pPr>
        <w:ind w:left="5040" w:hanging="360"/>
      </w:pPr>
      <w:rPr>
        <w:rFonts w:hAnsi="Arial Unicode MS"/>
        <w:caps w:val="0"/>
        <w:smallCaps w:val="0"/>
        <w:strike w:val="0"/>
        <w:dstrike w:val="0"/>
        <w:outline w:val="0"/>
        <w:emboss w:val="0"/>
        <w:imprint w:val="0"/>
        <w:spacing w:val="0"/>
        <w:w w:val="100"/>
        <w:kern w:val="0"/>
        <w:position w:val="0"/>
        <w:highlight w:val="none"/>
        <w:vertAlign w:val="baseline"/>
      </w:rPr>
    </w:lvl>
    <w:lvl w:ilvl="7" w:tplc="B2062FF4">
      <w:start w:val="1"/>
      <w:numFmt w:val="lowerLetter"/>
      <w:lvlText w:val="%8."/>
      <w:lvlJc w:val="left"/>
      <w:pPr>
        <w:ind w:left="5760" w:hanging="360"/>
      </w:pPr>
      <w:rPr>
        <w:rFonts w:hAnsi="Arial Unicode MS"/>
        <w:caps w:val="0"/>
        <w:smallCaps w:val="0"/>
        <w:strike w:val="0"/>
        <w:dstrike w:val="0"/>
        <w:outline w:val="0"/>
        <w:emboss w:val="0"/>
        <w:imprint w:val="0"/>
        <w:spacing w:val="0"/>
        <w:w w:val="100"/>
        <w:kern w:val="0"/>
        <w:position w:val="0"/>
        <w:highlight w:val="none"/>
        <w:vertAlign w:val="baseline"/>
      </w:rPr>
    </w:lvl>
    <w:lvl w:ilvl="8" w:tplc="137015EA">
      <w:start w:val="1"/>
      <w:numFmt w:val="lowerRoman"/>
      <w:lvlText w:val="%9."/>
      <w:lvlJc w:val="left"/>
      <w:pPr>
        <w:ind w:left="6480" w:hanging="280"/>
      </w:pPr>
      <w:rPr>
        <w:rFonts w:hAnsi="Arial Unicode MS"/>
        <w:caps w:val="0"/>
        <w:smallCaps w:val="0"/>
        <w:strike w:val="0"/>
        <w:dstrike w:val="0"/>
        <w:outline w:val="0"/>
        <w:emboss w:val="0"/>
        <w:imprint w:val="0"/>
        <w:spacing w:val="0"/>
        <w:w w:val="100"/>
        <w:kern w:val="0"/>
        <w:position w:val="0"/>
        <w:highlight w:val="none"/>
        <w:vertAlign w:val="baseline"/>
      </w:rPr>
    </w:lvl>
  </w:abstractNum>
  <w:abstractNum w:abstractNumId="17" w15:restartNumberingAfterBreak="0">
    <w:nsid w:val="7DFB6805"/>
    <w:multiLevelType w:val="hybridMultilevel"/>
    <w:tmpl w:val="9922213E"/>
    <w:numStyleLink w:val="Stileimportato3"/>
  </w:abstractNum>
  <w:num w:numId="1" w16cid:durableId="1509978846">
    <w:abstractNumId w:val="7"/>
  </w:num>
  <w:num w:numId="2" w16cid:durableId="2088722084">
    <w:abstractNumId w:val="8"/>
    <w:lvlOverride w:ilvl="1">
      <w:lvl w:ilvl="1">
        <w:start w:val="1"/>
        <w:numFmt w:val="decimal"/>
        <w:suff w:val="nothing"/>
        <w:lvlText w:val="%1.%2."/>
        <w:lvlJc w:val="left"/>
        <w:pPr>
          <w:ind w:left="156" w:hanging="156"/>
        </w:pPr>
        <w:rPr>
          <w:rFonts w:hAnsi="Arial Unicode MS"/>
          <w:b/>
          <w:bCs/>
          <w:caps w:val="0"/>
          <w:smallCaps w:val="0"/>
          <w:strike w:val="0"/>
          <w:dstrike w:val="0"/>
          <w:outline w:val="0"/>
          <w:emboss w:val="0"/>
          <w:imprint w:val="0"/>
          <w:color w:val="000000" w:themeColor="text1"/>
          <w:spacing w:val="0"/>
          <w:w w:val="100"/>
          <w:kern w:val="0"/>
          <w:position w:val="0"/>
          <w:highlight w:val="none"/>
          <w:vertAlign w:val="baseline"/>
        </w:rPr>
      </w:lvl>
    </w:lvlOverride>
  </w:num>
  <w:num w:numId="3" w16cid:durableId="628898016">
    <w:abstractNumId w:val="11"/>
  </w:num>
  <w:num w:numId="4" w16cid:durableId="485702307">
    <w:abstractNumId w:val="13"/>
  </w:num>
  <w:num w:numId="5" w16cid:durableId="1216892163">
    <w:abstractNumId w:val="8"/>
    <w:lvlOverride w:ilvl="0">
      <w:startOverride w:val="1"/>
      <w:lvl w:ilvl="0">
        <w:start w:val="1"/>
        <w:numFmt w:val="decimal"/>
        <w:suff w:val="nothing"/>
        <w:lvlText w:val="%1."/>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Override>
    <w:lvlOverride w:ilvl="1">
      <w:startOverride w:val="1"/>
      <w:lvl w:ilvl="1">
        <w:start w:val="1"/>
        <w:numFmt w:val="decimal"/>
        <w:suff w:val="nothing"/>
        <w:lvlText w:val="%1.%2."/>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Override>
    <w:lvlOverride w:ilvl="2">
      <w:startOverride w:val="1"/>
      <w:lvl w:ilvl="2">
        <w:start w:val="1"/>
        <w:numFmt w:val="decimal"/>
        <w:suff w:val="nothing"/>
        <w:lvlText w:val="%1.%2.%3."/>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Override>
    <w:lvlOverride w:ilvl="3">
      <w:startOverride w:val="1"/>
      <w:lvl w:ilvl="3">
        <w:start w:val="1"/>
        <w:numFmt w:val="decimal"/>
        <w:suff w:val="nothing"/>
        <w:lvlText w:val="%1.%2.%3.%4."/>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Override>
    <w:lvlOverride w:ilvl="4">
      <w:startOverride w:val="1"/>
      <w:lvl w:ilvl="4">
        <w:start w:val="1"/>
        <w:numFmt w:val="decimal"/>
        <w:suff w:val="nothing"/>
        <w:lvlText w:val="%1.%2.%3.%4.%5."/>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Override>
    <w:lvlOverride w:ilvl="5">
      <w:startOverride w:val="1"/>
      <w:lvl w:ilvl="5">
        <w:start w:val="1"/>
        <w:numFmt w:val="decimal"/>
        <w:suff w:val="nothing"/>
        <w:lvlText w:val="%1.%2.%3.%4.%5.%6."/>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Override>
    <w:lvlOverride w:ilvl="6">
      <w:startOverride w:val="1"/>
      <w:lvl w:ilvl="6">
        <w:start w:val="1"/>
        <w:numFmt w:val="decimal"/>
        <w:suff w:val="nothing"/>
        <w:lvlText w:val="%1.%2.%3.%4.%5.%6.%7."/>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Override>
    <w:lvlOverride w:ilvl="7">
      <w:startOverride w:val="1"/>
      <w:lvl w:ilvl="7">
        <w:start w:val="1"/>
        <w:numFmt w:val="decimal"/>
        <w:suff w:val="nothing"/>
        <w:lvlText w:val="%1.%2.%3.%4.%5.%6.%7.%8."/>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Override>
    <w:lvlOverride w:ilvl="8">
      <w:startOverride w:val="1"/>
      <w:lvl w:ilvl="8">
        <w:start w:val="1"/>
        <w:numFmt w:val="decimal"/>
        <w:suff w:val="nothing"/>
        <w:lvlText w:val="%1.%2.%3.%4.%5.%6.%7.%8.%9."/>
        <w:lvlJc w:val="left"/>
        <w:pPr>
          <w:ind w:left="156" w:hanging="156"/>
        </w:pPr>
        <w:rPr>
          <w:rFonts w:hAnsi="Arial Unicode MS"/>
          <w:b/>
          <w:bCs/>
          <w:caps w:val="0"/>
          <w:smallCaps w:val="0"/>
          <w:strike w:val="0"/>
          <w:dstrike w:val="0"/>
          <w:outline w:val="0"/>
          <w:emboss w:val="0"/>
          <w:imprint w:val="0"/>
          <w:color w:val="FF0000"/>
          <w:spacing w:val="0"/>
          <w:w w:val="100"/>
          <w:kern w:val="0"/>
          <w:position w:val="0"/>
          <w:highlight w:val="none"/>
          <w:vertAlign w:val="baseline"/>
        </w:rPr>
      </w:lvl>
    </w:lvlOverride>
  </w:num>
  <w:num w:numId="6" w16cid:durableId="2088847070">
    <w:abstractNumId w:val="4"/>
  </w:num>
  <w:num w:numId="7" w16cid:durableId="615601714">
    <w:abstractNumId w:val="17"/>
  </w:num>
  <w:num w:numId="8" w16cid:durableId="1615164152">
    <w:abstractNumId w:val="8"/>
    <w:lvlOverride w:ilvl="0">
      <w:startOverride w:val="2"/>
    </w:lvlOverride>
  </w:num>
  <w:num w:numId="9" w16cid:durableId="1640645507">
    <w:abstractNumId w:val="2"/>
  </w:num>
  <w:num w:numId="10" w16cid:durableId="453017346">
    <w:abstractNumId w:val="6"/>
  </w:num>
  <w:num w:numId="11" w16cid:durableId="1101413155">
    <w:abstractNumId w:val="8"/>
    <w:lvlOverride w:ilvl="0">
      <w:startOverride w:val="3"/>
    </w:lvlOverride>
  </w:num>
  <w:num w:numId="12" w16cid:durableId="686054479">
    <w:abstractNumId w:val="16"/>
  </w:num>
  <w:num w:numId="13" w16cid:durableId="1025520134">
    <w:abstractNumId w:val="14"/>
  </w:num>
  <w:num w:numId="14" w16cid:durableId="656347045">
    <w:abstractNumId w:val="8"/>
    <w:lvlOverride w:ilvl="0">
      <w:startOverride w:val="4"/>
    </w:lvlOverride>
  </w:num>
  <w:num w:numId="15" w16cid:durableId="642659918">
    <w:abstractNumId w:val="12"/>
  </w:num>
  <w:num w:numId="16" w16cid:durableId="1006713455">
    <w:abstractNumId w:val="3"/>
  </w:num>
  <w:num w:numId="17" w16cid:durableId="347684976">
    <w:abstractNumId w:val="8"/>
    <w:lvlOverride w:ilvl="0">
      <w:startOverride w:val="5"/>
    </w:lvlOverride>
  </w:num>
  <w:num w:numId="18" w16cid:durableId="676543127">
    <w:abstractNumId w:val="9"/>
  </w:num>
  <w:num w:numId="19" w16cid:durableId="2054571552">
    <w:abstractNumId w:val="1"/>
  </w:num>
  <w:num w:numId="20" w16cid:durableId="1096051969">
    <w:abstractNumId w:val="0"/>
  </w:num>
  <w:num w:numId="21" w16cid:durableId="1639066502">
    <w:abstractNumId w:val="5"/>
  </w:num>
  <w:num w:numId="22" w16cid:durableId="111362259">
    <w:abstractNumId w:val="8"/>
    <w:lvlOverride w:ilvl="1">
      <w:startOverride w:val="3"/>
    </w:lvlOverride>
  </w:num>
  <w:num w:numId="23" w16cid:durableId="1464157016">
    <w:abstractNumId w:val="10"/>
  </w:num>
  <w:num w:numId="24" w16cid:durableId="121311678">
    <w:abstractNumId w:val="15"/>
  </w:num>
  <w:num w:numId="25" w16cid:durableId="1964968508">
    <w:abstractNumId w:val="8"/>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displayBackgroundShape/>
  <w:proofState w:spelling="clean" w:grammar="clean"/>
  <w:doNotTrackMoves/>
  <w:defaultTabStop w:val="720"/>
  <w:characterSpacingControl w:val="doNotCompress"/>
  <w:footnotePr>
    <w:footnote w:id="-1"/>
    <w:footnote w:id="0"/>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2BCD"/>
    <w:rsid w:val="001E51B7"/>
    <w:rsid w:val="0020472C"/>
    <w:rsid w:val="0024792D"/>
    <w:rsid w:val="00384E78"/>
    <w:rsid w:val="00441AB6"/>
    <w:rsid w:val="00C81D97"/>
    <w:rsid w:val="00DF6F71"/>
    <w:rsid w:val="00E12538"/>
    <w:rsid w:val="00E62BCD"/>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ecimalSymbol w:val="."/>
  <w:listSeparator w:val=","/>
  <w14:docId w14:val="55A83892"/>
  <w15:docId w15:val="{FFDE753F-8A55-454A-AB11-916F1CC4C4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Arial Unicode MS" w:hAnsi="Times New Roman" w:cs="Times New Roman"/>
        <w:bdr w:val="nil"/>
        <w:lang w:eastAsia="en-GB"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Pr>
      <w:u w:val="single"/>
    </w:rPr>
  </w:style>
  <w:style w:type="paragraph" w:customStyle="1" w:styleId="Intestazioneepidipagina">
    <w:name w:val="Intestazione e piè di pagina"/>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ooter">
    <w:name w:val="footer"/>
    <w:pPr>
      <w:tabs>
        <w:tab w:val="center" w:pos="4320"/>
        <w:tab w:val="right" w:pos="8640"/>
      </w:tabs>
      <w:spacing w:before="40" w:after="40"/>
    </w:pPr>
    <w:rPr>
      <w:rFonts w:ascii="Arial" w:hAnsi="Arial" w:cs="Arial Unicode MS"/>
      <w:color w:val="000000"/>
      <w:u w:color="000000"/>
      <w:lang w:val="en-US"/>
    </w:rPr>
  </w:style>
  <w:style w:type="paragraph" w:customStyle="1" w:styleId="DocumentNumber">
    <w:name w:val="DocumentNumber"/>
    <w:pPr>
      <w:pBdr>
        <w:top w:val="single" w:sz="6" w:space="0" w:color="000000"/>
        <w:left w:val="single" w:sz="6" w:space="0" w:color="000000"/>
        <w:bottom w:val="single" w:sz="6" w:space="0" w:color="000000"/>
        <w:right w:val="single" w:sz="6" w:space="0" w:color="000000"/>
      </w:pBdr>
      <w:spacing w:before="40" w:after="960"/>
      <w:jc w:val="center"/>
    </w:pPr>
    <w:rPr>
      <w:rFonts w:ascii="Arial" w:hAnsi="Arial" w:cs="Arial Unicode MS"/>
      <w:b/>
      <w:bCs/>
      <w:color w:val="000000"/>
      <w:sz w:val="36"/>
      <w:szCs w:val="36"/>
      <w:u w:color="000000"/>
      <w:lang w:val="en-US"/>
    </w:rPr>
  </w:style>
  <w:style w:type="paragraph" w:customStyle="1" w:styleId="DocumentHeaderInfo">
    <w:name w:val="DocumentHeaderInfo"/>
    <w:pPr>
      <w:pBdr>
        <w:top w:val="single" w:sz="6" w:space="0" w:color="000000"/>
        <w:left w:val="single" w:sz="6" w:space="0" w:color="000000"/>
        <w:bottom w:val="single" w:sz="6" w:space="0" w:color="000000"/>
        <w:right w:val="single" w:sz="6" w:space="0" w:color="000000"/>
      </w:pBdr>
      <w:spacing w:before="40" w:after="40"/>
    </w:pPr>
    <w:rPr>
      <w:rFonts w:ascii="Arial" w:hAnsi="Arial" w:cs="Arial Unicode MS"/>
      <w:b/>
      <w:bCs/>
      <w:color w:val="000000"/>
      <w:sz w:val="24"/>
      <w:szCs w:val="24"/>
      <w:u w:color="000000"/>
      <w:lang w:val="en-US"/>
    </w:rPr>
  </w:style>
  <w:style w:type="paragraph" w:customStyle="1" w:styleId="Intestazione">
    <w:name w:val="Intestazione"/>
    <w:next w:val="Corpo"/>
    <w:pPr>
      <w:keepNext/>
      <w:pBdr>
        <w:top w:val="single" w:sz="6" w:space="0" w:color="000000"/>
        <w:bottom w:val="single" w:sz="6" w:space="0" w:color="000000"/>
      </w:pBdr>
      <w:spacing w:before="240" w:after="60"/>
      <w:outlineLvl w:val="0"/>
    </w:pPr>
    <w:rPr>
      <w:rFonts w:ascii="Arial" w:hAnsi="Arial" w:cs="Arial Unicode MS"/>
      <w:b/>
      <w:bCs/>
      <w:color w:val="000000"/>
      <w:kern w:val="28"/>
      <w:sz w:val="28"/>
      <w:szCs w:val="28"/>
      <w:u w:color="000000"/>
      <w:lang w:val="fr-FR"/>
      <w14:textOutline w14:w="12700" w14:cap="flat" w14:cmpd="sng" w14:algn="ctr">
        <w14:noFill/>
        <w14:prstDash w14:val="solid"/>
        <w14:miter w14:lim="400000"/>
      </w14:textOutline>
    </w:rPr>
  </w:style>
  <w:style w:type="paragraph" w:customStyle="1" w:styleId="Corpo">
    <w:name w:val="Corpo"/>
    <w:pPr>
      <w:spacing w:before="40" w:after="40"/>
    </w:pPr>
    <w:rPr>
      <w:rFonts w:cs="Arial Unicode MS"/>
      <w:color w:val="000000"/>
      <w:u w:color="000000"/>
      <w:lang w:val="fr-FR"/>
      <w14:textOutline w14:w="12700" w14:cap="flat" w14:cmpd="sng" w14:algn="ctr">
        <w14:noFill/>
        <w14:prstDash w14:val="solid"/>
        <w14:miter w14:lim="400000"/>
      </w14:textOutline>
    </w:rPr>
  </w:style>
  <w:style w:type="numbering" w:customStyle="1" w:styleId="Stileimportato1">
    <w:name w:val="Stile importato 1"/>
    <w:pPr>
      <w:numPr>
        <w:numId w:val="1"/>
      </w:numPr>
    </w:pPr>
  </w:style>
  <w:style w:type="paragraph" w:styleId="BodyText">
    <w:name w:val="Body Text"/>
    <w:pPr>
      <w:spacing w:before="40" w:after="120"/>
    </w:pPr>
    <w:rPr>
      <w:rFonts w:cs="Arial Unicode MS"/>
      <w:color w:val="000000"/>
      <w:u w:color="000000"/>
      <w:lang w:val="en-US"/>
    </w:rPr>
  </w:style>
  <w:style w:type="numbering" w:customStyle="1" w:styleId="Stileimportato2">
    <w:name w:val="Stile importato 2"/>
    <w:pPr>
      <w:numPr>
        <w:numId w:val="3"/>
      </w:numPr>
    </w:pPr>
  </w:style>
  <w:style w:type="paragraph" w:customStyle="1" w:styleId="Intestazione2">
    <w:name w:val="Intestazione 2"/>
    <w:next w:val="Corpo"/>
    <w:pPr>
      <w:keepNext/>
      <w:spacing w:before="240" w:after="60"/>
      <w:outlineLvl w:val="1"/>
    </w:pPr>
    <w:rPr>
      <w:rFonts w:ascii="Arial" w:hAnsi="Arial" w:cs="Arial Unicode MS"/>
      <w:b/>
      <w:bCs/>
      <w:color w:val="000000"/>
      <w:sz w:val="28"/>
      <w:szCs w:val="28"/>
      <w:u w:val="single" w:color="000000"/>
      <w:lang w:val="es-ES_tradnl"/>
      <w14:textOutline w14:w="12700" w14:cap="flat" w14:cmpd="sng" w14:algn="ctr">
        <w14:noFill/>
        <w14:prstDash w14:val="solid"/>
        <w14:miter w14:lim="400000"/>
      </w14:textOutline>
    </w:rPr>
  </w:style>
  <w:style w:type="paragraph" w:styleId="EndnoteText">
    <w:name w:val="endnote text"/>
    <w:pPr>
      <w:spacing w:before="40" w:after="40"/>
    </w:pPr>
    <w:rPr>
      <w:rFonts w:eastAsia="Times New Roman"/>
      <w:color w:val="000000"/>
      <w:sz w:val="24"/>
      <w:szCs w:val="24"/>
      <w:u w:color="000000"/>
      <w:lang w:val="en-US"/>
    </w:rPr>
  </w:style>
  <w:style w:type="numbering" w:customStyle="1" w:styleId="Stileimportato3">
    <w:name w:val="Stile importato 3"/>
    <w:pPr>
      <w:numPr>
        <w:numId w:val="6"/>
      </w:numPr>
    </w:pPr>
  </w:style>
  <w:style w:type="paragraph" w:customStyle="1" w:styleId="DidefaultA">
    <w:name w:val="Di default A"/>
    <w:pPr>
      <w:spacing w:before="160" w:after="40" w:line="288" w:lineRule="auto"/>
    </w:pPr>
    <w:rPr>
      <w:rFonts w:ascii="Helvetica Neue" w:hAnsi="Helvetica Neue" w:cs="Arial Unicode MS"/>
      <w:color w:val="000000"/>
      <w:sz w:val="24"/>
      <w:szCs w:val="24"/>
      <w:u w:color="000000"/>
      <w:lang w:val="en-US"/>
      <w14:textOutline w14:w="12700" w14:cap="flat" w14:cmpd="sng" w14:algn="ctr">
        <w14:noFill/>
        <w14:prstDash w14:val="solid"/>
        <w14:miter w14:lim="400000"/>
      </w14:textOutline>
    </w:rPr>
  </w:style>
  <w:style w:type="character" w:customStyle="1" w:styleId="Link">
    <w:name w:val="Link"/>
    <w:rPr>
      <w:outline w:val="0"/>
      <w:color w:val="0000FF"/>
      <w:u w:val="single" w:color="0000FF"/>
    </w:rPr>
  </w:style>
  <w:style w:type="character" w:customStyle="1" w:styleId="Hyperlink0">
    <w:name w:val="Hyperlink.0"/>
    <w:basedOn w:val="Link"/>
    <w:rPr>
      <w:outline w:val="0"/>
      <w:color w:val="0000FF"/>
      <w:sz w:val="20"/>
      <w:szCs w:val="20"/>
      <w:u w:val="single" w:color="0000FF"/>
      <w:shd w:val="clear" w:color="auto" w:fill="FFFFFF"/>
      <w:lang w:val="es-ES_tradnl"/>
    </w:rPr>
  </w:style>
  <w:style w:type="numbering" w:customStyle="1" w:styleId="Stileimportato4">
    <w:name w:val="Stile importato 4"/>
    <w:pPr>
      <w:numPr>
        <w:numId w:val="9"/>
      </w:numPr>
    </w:pPr>
  </w:style>
  <w:style w:type="numbering" w:customStyle="1" w:styleId="Stileimportato5">
    <w:name w:val="Stile importato 5"/>
    <w:pPr>
      <w:numPr>
        <w:numId w:val="12"/>
      </w:numPr>
    </w:pPr>
  </w:style>
  <w:style w:type="paragraph" w:styleId="List">
    <w:name w:val="List"/>
    <w:pPr>
      <w:spacing w:before="40" w:after="40"/>
      <w:ind w:left="360" w:hanging="360"/>
    </w:pPr>
    <w:rPr>
      <w:rFonts w:cs="Arial Unicode MS"/>
      <w:color w:val="000000"/>
      <w:u w:color="000000"/>
      <w:lang w:val="en-US"/>
    </w:rPr>
  </w:style>
  <w:style w:type="paragraph" w:styleId="List2">
    <w:name w:val="List 2"/>
    <w:pPr>
      <w:spacing w:before="40" w:after="40"/>
      <w:ind w:left="720" w:hanging="360"/>
    </w:pPr>
    <w:rPr>
      <w:rFonts w:cs="Arial Unicode MS"/>
      <w:color w:val="000000"/>
      <w:u w:color="000000"/>
      <w:lang w:val="en-US"/>
    </w:rPr>
  </w:style>
  <w:style w:type="numbering" w:customStyle="1" w:styleId="Stileimportato7">
    <w:name w:val="Stile importato 7"/>
    <w:pPr>
      <w:numPr>
        <w:numId w:val="15"/>
      </w:numPr>
    </w:pPr>
  </w:style>
  <w:style w:type="paragraph" w:styleId="ListContinue2">
    <w:name w:val="List Continue 2"/>
    <w:pPr>
      <w:spacing w:before="40" w:after="120"/>
      <w:ind w:left="720"/>
    </w:pPr>
    <w:rPr>
      <w:rFonts w:cs="Arial Unicode MS"/>
      <w:color w:val="000000"/>
      <w:u w:color="000000"/>
      <w:lang w:val="en-US"/>
    </w:rPr>
  </w:style>
  <w:style w:type="paragraph" w:styleId="List3">
    <w:name w:val="List 3"/>
    <w:pPr>
      <w:spacing w:before="40" w:after="40"/>
      <w:ind w:left="1080" w:hanging="360"/>
    </w:pPr>
    <w:rPr>
      <w:rFonts w:cs="Arial Unicode MS"/>
      <w:color w:val="000000"/>
      <w:u w:color="000000"/>
      <w:lang w:val="en-US"/>
    </w:rPr>
  </w:style>
  <w:style w:type="paragraph" w:styleId="BodyTextIndent">
    <w:name w:val="Body Text Indent"/>
    <w:pPr>
      <w:spacing w:before="40" w:after="120"/>
      <w:ind w:left="360"/>
    </w:pPr>
    <w:rPr>
      <w:rFonts w:cs="Arial Unicode MS"/>
      <w:color w:val="000000"/>
      <w:u w:color="000000"/>
      <w:lang w:val="en-US"/>
    </w:rPr>
  </w:style>
  <w:style w:type="numbering" w:customStyle="1" w:styleId="Stileimportato10">
    <w:name w:val="Stile importato 10"/>
    <w:pPr>
      <w:numPr>
        <w:numId w:val="18"/>
      </w:numPr>
    </w:pPr>
  </w:style>
  <w:style w:type="numbering" w:customStyle="1" w:styleId="Stileimportato11">
    <w:name w:val="Stile importato 11"/>
    <w:pPr>
      <w:numPr>
        <w:numId w:val="20"/>
      </w:numPr>
    </w:pPr>
  </w:style>
  <w:style w:type="numbering" w:customStyle="1" w:styleId="Stileimportato12">
    <w:name w:val="Stile importato 12"/>
    <w:pPr>
      <w:numPr>
        <w:numId w:val="23"/>
      </w:numPr>
    </w:pPr>
  </w:style>
  <w:style w:type="paragraph" w:styleId="Revision">
    <w:name w:val="Revision"/>
    <w:hidden/>
    <w:uiPriority w:val="99"/>
    <w:semiHidden/>
    <w:rsid w:val="00384E78"/>
    <w:pPr>
      <w:pBdr>
        <w:top w:val="none" w:sz="0" w:space="0" w:color="auto"/>
        <w:left w:val="none" w:sz="0" w:space="0" w:color="auto"/>
        <w:bottom w:val="none" w:sz="0" w:space="0" w:color="auto"/>
        <w:right w:val="none" w:sz="0" w:space="0" w:color="auto"/>
        <w:between w:val="none" w:sz="0" w:space="0" w:color="auto"/>
        <w:bar w:val="none" w:sz="0" w:color="auto"/>
      </w:pBdr>
    </w:pPr>
    <w:rPr>
      <w:sz w:val="24"/>
      <w:szCs w:val="24"/>
      <w:lang w:val="en-U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endnotes.xml.rels><?xml version="1.0" encoding="UTF-8" standalone="yes"?>
<Relationships xmlns="http://schemas.openxmlformats.org/package/2006/relationships"><Relationship Id="rId3" Type="http://schemas.openxmlformats.org/officeDocument/2006/relationships/image" Target="media/image1.png"/><Relationship Id="rId2" Type="http://schemas.openxmlformats.org/officeDocument/2006/relationships/hyperlink" Target="https://cawg.io/" TargetMode="External"/><Relationship Id="rId1" Type="http://schemas.openxmlformats.org/officeDocument/2006/relationships/hyperlink" Target="https://c2pa.org/" TargetMode="External"/></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25400" cap="flat">
          <a:solidFill>
            <a:schemeClr val="accent1"/>
          </a:solidFill>
          <a:prstDash val="solid"/>
          <a:round/>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25400" cap="flat">
          <a:solidFill>
            <a:schemeClr val="accent1"/>
          </a:solidFill>
          <a:prstDash val="solid"/>
          <a:round/>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0" tIns="0" rIns="0" bIns="0"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mn-lt"/>
            <a:ea typeface="+mn-ea"/>
            <a:cs typeface="+mn-cs"/>
            <a:sym typeface="Helvetica Neue"/>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TotalTime>
  <Pages>6</Pages>
  <Words>2133</Words>
  <Characters>11860</Characters>
  <Application>Microsoft Office Word</Application>
  <DocSecurity>0</DocSecurity>
  <Lines>211</Lines>
  <Paragraphs>115</Paragraphs>
  <ScaleCrop>false</ScaleCrop>
  <Company/>
  <LinksUpToDate>false</LinksUpToDate>
  <CharactersWithSpaces>13878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Scott Simmons</cp:lastModifiedBy>
  <cp:revision>6</cp:revision>
  <dcterms:created xsi:type="dcterms:W3CDTF">2025-10-30T22:36:00Z</dcterms:created>
  <dcterms:modified xsi:type="dcterms:W3CDTF">2026-01-08T23:50:00Z</dcterms:modified>
</cp:coreProperties>
</file>