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044681" w14:paraId="7339DF7D" w14:textId="77777777">
        <w:tc>
          <w:tcPr>
            <w:tcW w:w="1845" w:type="dxa"/>
            <w:tcMar>
              <w:top w:w="100" w:type="dxa"/>
              <w:left w:w="100" w:type="dxa"/>
              <w:bottom w:w="100" w:type="dxa"/>
              <w:right w:w="100" w:type="dxa"/>
            </w:tcMar>
          </w:tcPr>
          <w:p w14:paraId="0EE0F8AA" w14:textId="77777777" w:rsidR="00044681" w:rsidRDefault="00606186">
            <w:pPr>
              <w:pStyle w:val="Normal1"/>
              <w:widowControl w:val="0"/>
              <w:spacing w:before="0" w:after="0" w:line="240" w:lineRule="auto"/>
            </w:pPr>
            <w:bookmarkStart w:id="0" w:name="_GoBack"/>
            <w:bookmarkEnd w:id="0"/>
            <w:r>
              <w:rPr>
                <w:b/>
              </w:rPr>
              <w:t xml:space="preserve">TITLE: </w:t>
            </w:r>
          </w:p>
        </w:tc>
        <w:tc>
          <w:tcPr>
            <w:tcW w:w="7515" w:type="dxa"/>
            <w:tcMar>
              <w:top w:w="100" w:type="dxa"/>
              <w:left w:w="100" w:type="dxa"/>
              <w:bottom w:w="100" w:type="dxa"/>
              <w:right w:w="100" w:type="dxa"/>
            </w:tcMar>
          </w:tcPr>
          <w:p w14:paraId="67B05857" w14:textId="77777777" w:rsidR="00044681" w:rsidRDefault="00687E08">
            <w:pPr>
              <w:pStyle w:val="Normal1"/>
              <w:widowControl w:val="0"/>
              <w:spacing w:before="0" w:after="0" w:line="240" w:lineRule="auto"/>
            </w:pPr>
            <w:r>
              <w:rPr>
                <w:b/>
              </w:rPr>
              <w:t xml:space="preserve">OWS </w:t>
            </w:r>
            <w:r w:rsidR="008B365F">
              <w:rPr>
                <w:b/>
              </w:rPr>
              <w:t>Common Security</w:t>
            </w:r>
            <w:r w:rsidR="00606186">
              <w:rPr>
                <w:b/>
              </w:rPr>
              <w:br/>
              <w:t>Standards Working Group Charter</w:t>
            </w:r>
          </w:p>
        </w:tc>
      </w:tr>
      <w:tr w:rsidR="00044681" w14:paraId="32CE7FC7" w14:textId="77777777">
        <w:trPr>
          <w:trHeight w:val="500"/>
        </w:trPr>
        <w:tc>
          <w:tcPr>
            <w:tcW w:w="1845" w:type="dxa"/>
            <w:tcMar>
              <w:top w:w="100" w:type="dxa"/>
              <w:left w:w="100" w:type="dxa"/>
              <w:bottom w:w="100" w:type="dxa"/>
              <w:right w:w="100" w:type="dxa"/>
            </w:tcMar>
          </w:tcPr>
          <w:p w14:paraId="0E3FAF1B" w14:textId="77777777" w:rsidR="00044681" w:rsidRDefault="00606186">
            <w:pPr>
              <w:pStyle w:val="Normal1"/>
              <w:widowControl w:val="0"/>
              <w:spacing w:before="0" w:after="0" w:line="240" w:lineRule="auto"/>
            </w:pPr>
            <w:r>
              <w:rPr>
                <w:b/>
              </w:rPr>
              <w:t>Authors:</w:t>
            </w:r>
          </w:p>
        </w:tc>
        <w:tc>
          <w:tcPr>
            <w:tcW w:w="7515" w:type="dxa"/>
            <w:tcMar>
              <w:top w:w="100" w:type="dxa"/>
              <w:left w:w="100" w:type="dxa"/>
              <w:bottom w:w="100" w:type="dxa"/>
              <w:right w:w="100" w:type="dxa"/>
            </w:tcMar>
          </w:tcPr>
          <w:p w14:paraId="3C2D597A" w14:textId="77777777" w:rsidR="00044681" w:rsidRDefault="00C6159A">
            <w:pPr>
              <w:pStyle w:val="Normal1"/>
              <w:widowControl w:val="0"/>
              <w:spacing w:before="0" w:after="0" w:line="240" w:lineRule="auto"/>
            </w:pPr>
            <w:r>
              <w:rPr>
                <w:b/>
              </w:rPr>
              <w:t xml:space="preserve">Andreas </w:t>
            </w:r>
            <w:proofErr w:type="spellStart"/>
            <w:r>
              <w:rPr>
                <w:b/>
              </w:rPr>
              <w:t>Matheus</w:t>
            </w:r>
            <w:proofErr w:type="spellEnd"/>
            <w:r>
              <w:rPr>
                <w:b/>
              </w:rPr>
              <w:t xml:space="preserve">, Dave </w:t>
            </w:r>
            <w:proofErr w:type="spellStart"/>
            <w:r>
              <w:rPr>
                <w:b/>
              </w:rPr>
              <w:t>Wesloh</w:t>
            </w:r>
            <w:proofErr w:type="spellEnd"/>
          </w:p>
        </w:tc>
      </w:tr>
      <w:tr w:rsidR="00044681" w14:paraId="3F609EB8" w14:textId="77777777">
        <w:tc>
          <w:tcPr>
            <w:tcW w:w="1845" w:type="dxa"/>
            <w:tcMar>
              <w:top w:w="100" w:type="dxa"/>
              <w:left w:w="100" w:type="dxa"/>
              <w:bottom w:w="100" w:type="dxa"/>
              <w:right w:w="100" w:type="dxa"/>
            </w:tcMar>
          </w:tcPr>
          <w:p w14:paraId="3708C2B2" w14:textId="77777777" w:rsidR="00044681" w:rsidRDefault="00606186">
            <w:pPr>
              <w:pStyle w:val="Normal1"/>
              <w:widowControl w:val="0"/>
              <w:spacing w:before="0" w:after="0" w:line="240" w:lineRule="auto"/>
            </w:pPr>
            <w:r>
              <w:rPr>
                <w:b/>
              </w:rPr>
              <w:t>Email:</w:t>
            </w:r>
          </w:p>
        </w:tc>
        <w:tc>
          <w:tcPr>
            <w:tcW w:w="7515" w:type="dxa"/>
            <w:tcMar>
              <w:top w:w="100" w:type="dxa"/>
              <w:left w:w="100" w:type="dxa"/>
              <w:bottom w:w="100" w:type="dxa"/>
              <w:right w:w="100" w:type="dxa"/>
            </w:tcMar>
          </w:tcPr>
          <w:p w14:paraId="6621F27D" w14:textId="77777777" w:rsidR="00044681" w:rsidRDefault="00044681">
            <w:pPr>
              <w:pStyle w:val="Normal1"/>
              <w:widowControl w:val="0"/>
              <w:spacing w:before="0" w:after="0" w:line="240" w:lineRule="auto"/>
            </w:pPr>
          </w:p>
        </w:tc>
      </w:tr>
      <w:tr w:rsidR="00044681" w14:paraId="416D4D16" w14:textId="77777777">
        <w:tc>
          <w:tcPr>
            <w:tcW w:w="1845" w:type="dxa"/>
            <w:tcMar>
              <w:top w:w="100" w:type="dxa"/>
              <w:left w:w="100" w:type="dxa"/>
              <w:bottom w:w="100" w:type="dxa"/>
              <w:right w:w="100" w:type="dxa"/>
            </w:tcMar>
          </w:tcPr>
          <w:p w14:paraId="78B5D59A" w14:textId="77777777" w:rsidR="00044681" w:rsidRDefault="00606186">
            <w:pPr>
              <w:pStyle w:val="Normal1"/>
              <w:widowControl w:val="0"/>
              <w:spacing w:before="0" w:after="0" w:line="240" w:lineRule="auto"/>
            </w:pPr>
            <w:r>
              <w:rPr>
                <w:b/>
              </w:rPr>
              <w:t>DATE:</w:t>
            </w:r>
          </w:p>
        </w:tc>
        <w:tc>
          <w:tcPr>
            <w:tcW w:w="7515" w:type="dxa"/>
            <w:tcMar>
              <w:top w:w="100" w:type="dxa"/>
              <w:left w:w="100" w:type="dxa"/>
              <w:bottom w:w="100" w:type="dxa"/>
              <w:right w:w="100" w:type="dxa"/>
            </w:tcMar>
          </w:tcPr>
          <w:p w14:paraId="72D07033" w14:textId="2B0B001E" w:rsidR="00044681" w:rsidRDefault="000C7A56">
            <w:pPr>
              <w:pStyle w:val="Normal1"/>
              <w:widowControl w:val="0"/>
              <w:spacing w:before="0" w:after="0" w:line="240" w:lineRule="auto"/>
            </w:pPr>
            <w:r>
              <w:rPr>
                <w:b/>
              </w:rPr>
              <w:t>16</w:t>
            </w:r>
            <w:r w:rsidR="00C6159A">
              <w:rPr>
                <w:b/>
              </w:rPr>
              <w:t xml:space="preserve"> Ju</w:t>
            </w:r>
            <w:r w:rsidR="00E15F1E">
              <w:rPr>
                <w:b/>
              </w:rPr>
              <w:t>ly</w:t>
            </w:r>
            <w:r w:rsidR="00606186">
              <w:rPr>
                <w:b/>
              </w:rPr>
              <w:t xml:space="preserve"> 2015</w:t>
            </w:r>
          </w:p>
        </w:tc>
      </w:tr>
      <w:tr w:rsidR="00044681" w14:paraId="3F817076" w14:textId="77777777">
        <w:tc>
          <w:tcPr>
            <w:tcW w:w="1845" w:type="dxa"/>
            <w:tcMar>
              <w:top w:w="100" w:type="dxa"/>
              <w:left w:w="100" w:type="dxa"/>
              <w:bottom w:w="100" w:type="dxa"/>
              <w:right w:w="100" w:type="dxa"/>
            </w:tcMar>
          </w:tcPr>
          <w:p w14:paraId="193328E0" w14:textId="77777777" w:rsidR="00044681" w:rsidRDefault="00606186">
            <w:pPr>
              <w:pStyle w:val="Normal1"/>
              <w:widowControl w:val="0"/>
              <w:spacing w:before="0" w:after="0" w:line="240" w:lineRule="auto"/>
            </w:pPr>
            <w:r>
              <w:rPr>
                <w:b/>
              </w:rPr>
              <w:t xml:space="preserve">CATEGORY: </w:t>
            </w:r>
          </w:p>
        </w:tc>
        <w:tc>
          <w:tcPr>
            <w:tcW w:w="7515" w:type="dxa"/>
            <w:tcMar>
              <w:top w:w="100" w:type="dxa"/>
              <w:left w:w="100" w:type="dxa"/>
              <w:bottom w:w="100" w:type="dxa"/>
              <w:right w:w="100" w:type="dxa"/>
            </w:tcMar>
          </w:tcPr>
          <w:p w14:paraId="5AB3D1B8" w14:textId="77777777" w:rsidR="00044681" w:rsidRDefault="00606186">
            <w:pPr>
              <w:pStyle w:val="Normal1"/>
              <w:widowControl w:val="0"/>
              <w:spacing w:before="0" w:after="0" w:line="240" w:lineRule="auto"/>
            </w:pPr>
            <w:r>
              <w:rPr>
                <w:b/>
              </w:rPr>
              <w:t>SWG Charter</w:t>
            </w:r>
          </w:p>
        </w:tc>
      </w:tr>
    </w:tbl>
    <w:p w14:paraId="69F30294" w14:textId="5DFDF695" w:rsidR="00411E92" w:rsidRDefault="00411E92" w:rsidP="00411E92">
      <w:r>
        <w:t>To:  OGC members &amp; interested parties</w:t>
      </w:r>
      <w:r>
        <w:br/>
      </w:r>
      <w:r>
        <w:br/>
        <w:t>A new OGC Standards Working Group is being formed. The OGC members listed below have proposed the OGC Open Web Services (OWS) Common Security Standards Working Group.  The SWG proposal provided in this document meets the requirements of the OGC TC Policies and Procedures.</w:t>
      </w:r>
      <w:r>
        <w:br/>
      </w:r>
    </w:p>
    <w:p w14:paraId="2AB6C50E" w14:textId="77777777" w:rsidR="00411E92" w:rsidRDefault="00411E92" w:rsidP="00411E92">
      <w:r>
        <w:t>The SWG name, statement of purpose, scope, list of deliverables, audience, and language specified in the proposal will constitute the SWG's official charter. Technical discussions may occur no sooner than the SWG's first meeting.</w:t>
      </w:r>
      <w:r>
        <w:br/>
      </w:r>
      <w:r>
        <w:br/>
        <w:t>This SWG will operate under the OGC 2007 IPR Policy. The eligibility requirements for becoming a participant in the SWG at the first meeting (see details below) are that:</w:t>
      </w:r>
      <w:r>
        <w:br/>
      </w:r>
    </w:p>
    <w:p w14:paraId="40B26308" w14:textId="77777777" w:rsidR="00411E92" w:rsidRDefault="00411E92" w:rsidP="00411E92">
      <w:pPr>
        <w:numPr>
          <w:ilvl w:val="0"/>
          <w:numId w:val="5"/>
        </w:numPr>
        <w:spacing w:before="40" w:after="40" w:line="240" w:lineRule="auto"/>
      </w:pPr>
      <w:r>
        <w:t>You must be an employee of an OGC member organization or an individual</w:t>
      </w:r>
      <w:r>
        <w:br/>
        <w:t>member of OGC;</w:t>
      </w:r>
    </w:p>
    <w:p w14:paraId="168E058C" w14:textId="77777777" w:rsidR="00411E92" w:rsidRDefault="00411E92" w:rsidP="00411E92">
      <w:pPr>
        <w:numPr>
          <w:ilvl w:val="0"/>
          <w:numId w:val="5"/>
        </w:numPr>
        <w:spacing w:before="40" w:after="40" w:line="240" w:lineRule="auto"/>
      </w:pPr>
      <w:r>
        <w:t>The OGC member must have signed the OGC Membership agreement;</w:t>
      </w:r>
    </w:p>
    <w:p w14:paraId="617784F4" w14:textId="77777777" w:rsidR="00411E92" w:rsidRDefault="00411E92" w:rsidP="00411E92">
      <w:pPr>
        <w:numPr>
          <w:ilvl w:val="0"/>
          <w:numId w:val="5"/>
        </w:numPr>
        <w:spacing w:before="40" w:after="40" w:line="240" w:lineRule="auto"/>
      </w:pPr>
      <w:r>
        <w:t>You must notify the SWG chair of your intent to participate to the first meeting. Members may do so by logging onto the OGC Portal and navigating to the Observer page and clicking on the link for the SWG they wish to join and;</w:t>
      </w:r>
    </w:p>
    <w:p w14:paraId="41346E37" w14:textId="77777777" w:rsidR="00411E92" w:rsidRDefault="00411E92" w:rsidP="00411E92">
      <w:pPr>
        <w:numPr>
          <w:ilvl w:val="0"/>
          <w:numId w:val="5"/>
        </w:numPr>
        <w:spacing w:before="40" w:after="40" w:line="240" w:lineRule="auto"/>
      </w:pPr>
      <w:r>
        <w:t>You must attend meetings of the SWG. The first meeting of this SWG is at the time and date fixed below. Attendance may be by teleconference.</w:t>
      </w:r>
      <w:r>
        <w:br/>
      </w:r>
    </w:p>
    <w:p w14:paraId="13750B33" w14:textId="77777777" w:rsidR="00411E92" w:rsidRDefault="00411E92" w:rsidP="00411E92">
      <w:r>
        <w:t>Of course, participants also may join the SWG at any time. The OGC and the SWG welcomes all interested parties.</w:t>
      </w:r>
      <w:r>
        <w:br/>
      </w:r>
      <w:r>
        <w:br/>
        <w:t xml:space="preserve">Non-OGC members who wish to participate may contact us about joining the OGC. In addition, the public may access some of the resources maintained for each SWG: the SWG public description, the SWG Charter, Change Requests, and public comments, </w:t>
      </w:r>
      <w:r>
        <w:lastRenderedPageBreak/>
        <w:t>which will be linked from the SWG’s page.</w:t>
      </w:r>
      <w:r>
        <w:br/>
      </w:r>
      <w:r>
        <w:br/>
        <w:t>Please feel free to forward this announcement to any other appropriate lists. The OGC is an open standards organization; we encourage your feedback.</w:t>
      </w:r>
    </w:p>
    <w:p w14:paraId="63C438EE" w14:textId="77777777" w:rsidR="00044681" w:rsidRDefault="00044681">
      <w:pPr>
        <w:pStyle w:val="Normal1"/>
        <w:jc w:val="both"/>
      </w:pPr>
    </w:p>
    <w:p w14:paraId="79C8E909" w14:textId="25701B3F" w:rsidR="00044681" w:rsidRDefault="00606186">
      <w:pPr>
        <w:pStyle w:val="Heading1"/>
        <w:contextualSpacing w:val="0"/>
      </w:pPr>
      <w:bookmarkStart w:id="1" w:name="h.gzgj8rnvyjas" w:colFirst="0" w:colLast="0"/>
      <w:bookmarkEnd w:id="1"/>
      <w:r>
        <w:rPr>
          <w:rFonts w:ascii="Arial" w:eastAsia="Arial" w:hAnsi="Arial" w:cs="Arial"/>
          <w:b/>
        </w:rPr>
        <w:t xml:space="preserve">1.    </w:t>
      </w:r>
      <w:r w:rsidR="00AE1D41">
        <w:rPr>
          <w:rFonts w:ascii="Arial" w:eastAsia="Arial" w:hAnsi="Arial" w:cs="Arial"/>
          <w:b/>
        </w:rPr>
        <w:t xml:space="preserve">OWS </w:t>
      </w:r>
      <w:r w:rsidR="00C6159A">
        <w:rPr>
          <w:rFonts w:ascii="Arial" w:eastAsia="Arial" w:hAnsi="Arial" w:cs="Arial"/>
          <w:b/>
        </w:rPr>
        <w:t>Common Security</w:t>
      </w:r>
      <w:r>
        <w:rPr>
          <w:rFonts w:ascii="Arial" w:eastAsia="Arial" w:hAnsi="Arial" w:cs="Arial"/>
          <w:b/>
        </w:rPr>
        <w:t xml:space="preserve"> </w:t>
      </w:r>
    </w:p>
    <w:p w14:paraId="2BA0F1A9" w14:textId="77777777" w:rsidR="00044681" w:rsidRDefault="00606186">
      <w:pPr>
        <w:pStyle w:val="Normal1"/>
      </w:pPr>
      <w:r>
        <w:t xml:space="preserve">A </w:t>
      </w:r>
      <w:r>
        <w:rPr>
          <w:b/>
        </w:rPr>
        <w:t>spatial data infrastructure (SDI)</w:t>
      </w:r>
      <w:r>
        <w:t xml:space="preserve"> is a data infrastructure implementing a framework of geographic data, metadata, users and tools that are interactively connected in order to use spatial data in an efficient and flexible way (</w:t>
      </w:r>
      <w:hyperlink r:id="rId8">
        <w:r>
          <w:rPr>
            <w:color w:val="1155CC"/>
            <w:u w:val="single"/>
          </w:rPr>
          <w:t>Wikipedia - Spatial data infrastructure</w:t>
        </w:r>
      </w:hyperlink>
      <w:r>
        <w:t xml:space="preserve">). </w:t>
      </w:r>
    </w:p>
    <w:p w14:paraId="5863AFBE" w14:textId="243DEEFB" w:rsidR="00427033" w:rsidRDefault="00C6159A">
      <w:pPr>
        <w:pStyle w:val="Normal1"/>
      </w:pPr>
      <w:r>
        <w:t xml:space="preserve">Common Security </w:t>
      </w:r>
      <w:r w:rsidR="00FD60A7">
        <w:t>implements</w:t>
      </w:r>
      <w:r w:rsidR="002B7FBA">
        <w:t xml:space="preserve"> the relevant concepts in</w:t>
      </w:r>
      <w:r>
        <w:t xml:space="preserve"> the ISO 10181 framework</w:t>
      </w:r>
      <w:r w:rsidR="00AE1D41">
        <w:t xml:space="preserve"> in a common fashion that can be used by OGC Standards supporting a SDI.</w:t>
      </w:r>
    </w:p>
    <w:p w14:paraId="0359F394" w14:textId="77777777" w:rsidR="00C6159A" w:rsidRPr="00354EA5" w:rsidRDefault="00427033">
      <w:pPr>
        <w:pStyle w:val="Normal1"/>
        <w:rPr>
          <w:i/>
        </w:rPr>
      </w:pPr>
      <w:r w:rsidRPr="00354EA5">
        <w:rPr>
          <w:i/>
        </w:rPr>
        <w:t>Please note that ISO 10181-1 provides a summary and listing of the following frameworks.</w:t>
      </w:r>
    </w:p>
    <w:tbl>
      <w:tblPr>
        <w:tblW w:w="0" w:type="auto"/>
        <w:tblInd w:w="108" w:type="dxa"/>
        <w:shd w:val="clear" w:color="auto" w:fill="F3F3F3"/>
        <w:tblLook w:val="04A0" w:firstRow="1" w:lastRow="0" w:firstColumn="1" w:lastColumn="0" w:noHBand="0" w:noVBand="1"/>
      </w:tblPr>
      <w:tblGrid>
        <w:gridCol w:w="8672"/>
      </w:tblGrid>
      <w:tr w:rsidR="00FD60A7" w:rsidRPr="00B82581" w14:paraId="7B56E262" w14:textId="77777777">
        <w:trPr>
          <w:trHeight w:val="1160"/>
        </w:trPr>
        <w:tc>
          <w:tcPr>
            <w:tcW w:w="8672" w:type="dxa"/>
            <w:shd w:val="clear" w:color="auto" w:fill="F3F3F3"/>
          </w:tcPr>
          <w:p w14:paraId="2CE2294B" w14:textId="77777777" w:rsidR="00FD60A7" w:rsidRPr="00B82581" w:rsidRDefault="00FD60A7" w:rsidP="007A1266">
            <w:pPr>
              <w:rPr>
                <w:i/>
              </w:rPr>
            </w:pPr>
            <w:r w:rsidRPr="00B82581">
              <w:rPr>
                <w:b/>
                <w:i/>
              </w:rPr>
              <w:t>Authentication Framework</w:t>
            </w:r>
            <w:r w:rsidRPr="00B82581">
              <w:rPr>
                <w:i/>
              </w:rPr>
              <w:t>: ISO 10181-2 defines all basic concepts of authentication in Open Systems: It identifies different classes of authentication mechanisms, the services for their implementation and the requirements for supporting protocols. It further identifies requirements for the management of identity information.</w:t>
            </w:r>
          </w:p>
        </w:tc>
      </w:tr>
      <w:tr w:rsidR="00FD60A7" w:rsidRPr="00B82581" w14:paraId="274ED7BA" w14:textId="77777777">
        <w:trPr>
          <w:trHeight w:val="1054"/>
        </w:trPr>
        <w:tc>
          <w:tcPr>
            <w:tcW w:w="8672" w:type="dxa"/>
            <w:shd w:val="clear" w:color="auto" w:fill="F3F3F3"/>
          </w:tcPr>
          <w:p w14:paraId="4F37B606" w14:textId="77777777" w:rsidR="00FD60A7" w:rsidRPr="00B82581" w:rsidRDefault="00FD60A7" w:rsidP="007A1266">
            <w:pPr>
              <w:rPr>
                <w:i/>
              </w:rPr>
            </w:pPr>
            <w:r w:rsidRPr="00B82581">
              <w:rPr>
                <w:b/>
                <w:i/>
              </w:rPr>
              <w:t>Access Control Framework</w:t>
            </w:r>
            <w:r w:rsidRPr="00B82581">
              <w:rPr>
                <w:i/>
              </w:rPr>
              <w:t>: ISO 10181-3 defines all basic concepts for access control in Open Systems and the relation to other frameworks such as the Authentication and Audit Frameworks.</w:t>
            </w:r>
          </w:p>
        </w:tc>
      </w:tr>
      <w:tr w:rsidR="00FD60A7" w:rsidRPr="00B82581" w14:paraId="7C4AD0FB" w14:textId="77777777">
        <w:trPr>
          <w:trHeight w:val="1094"/>
        </w:trPr>
        <w:tc>
          <w:tcPr>
            <w:tcW w:w="8672" w:type="dxa"/>
            <w:shd w:val="clear" w:color="auto" w:fill="F3F3F3"/>
          </w:tcPr>
          <w:p w14:paraId="16B6C25B" w14:textId="77777777" w:rsidR="00FD60A7" w:rsidRPr="00B82581" w:rsidRDefault="00FD60A7" w:rsidP="007A1266">
            <w:pPr>
              <w:rPr>
                <w:i/>
              </w:rPr>
            </w:pPr>
            <w:r w:rsidRPr="00B82581">
              <w:rPr>
                <w:b/>
                <w:i/>
              </w:rPr>
              <w:t xml:space="preserve">Non-repudiation Framework: </w:t>
            </w:r>
            <w:r w:rsidRPr="00B82581">
              <w:rPr>
                <w:i/>
              </w:rPr>
              <w:t>ISO 10181-4 refines and extends the concepts of non-repudiation, given in ISO 7598-2. It further defines general non-repudiation services and the mechanisms to provide these services.</w:t>
            </w:r>
          </w:p>
        </w:tc>
      </w:tr>
      <w:tr w:rsidR="00FD60A7" w:rsidRPr="00B82581" w14:paraId="0164E8CA" w14:textId="77777777">
        <w:trPr>
          <w:trHeight w:val="894"/>
        </w:trPr>
        <w:tc>
          <w:tcPr>
            <w:tcW w:w="8672" w:type="dxa"/>
            <w:shd w:val="clear" w:color="auto" w:fill="F3F3F3"/>
          </w:tcPr>
          <w:p w14:paraId="5D4028AA" w14:textId="77777777" w:rsidR="00FD60A7" w:rsidRPr="00B82581" w:rsidRDefault="00FD60A7" w:rsidP="007A1266">
            <w:pPr>
              <w:rPr>
                <w:i/>
              </w:rPr>
            </w:pPr>
            <w:r w:rsidRPr="00B82581">
              <w:rPr>
                <w:b/>
                <w:i/>
              </w:rPr>
              <w:t>Confidentiality Framework</w:t>
            </w:r>
            <w:r w:rsidRPr="00B82581">
              <w:rPr>
                <w:i/>
              </w:rPr>
              <w:t>: ISO 10181-5 defines the basic concepts of confidentiality, identifies classes of confidentiality mechanisms and their maintenance. It further addresses the interactions of the confidentiality mechanisms with other services.</w:t>
            </w:r>
          </w:p>
        </w:tc>
      </w:tr>
      <w:tr w:rsidR="00FD60A7" w:rsidRPr="00B82581" w14:paraId="08B4B9C4" w14:textId="77777777">
        <w:trPr>
          <w:trHeight w:val="707"/>
        </w:trPr>
        <w:tc>
          <w:tcPr>
            <w:tcW w:w="8672" w:type="dxa"/>
            <w:shd w:val="clear" w:color="auto" w:fill="F3F3F3"/>
          </w:tcPr>
          <w:p w14:paraId="1743377F" w14:textId="77777777" w:rsidR="00FD60A7" w:rsidRPr="00B82581" w:rsidRDefault="00FD60A7" w:rsidP="007A1266">
            <w:pPr>
              <w:rPr>
                <w:i/>
              </w:rPr>
            </w:pPr>
            <w:r w:rsidRPr="00B82581">
              <w:rPr>
                <w:b/>
                <w:i/>
              </w:rPr>
              <w:t>Integrity Framework</w:t>
            </w:r>
            <w:r w:rsidRPr="00B82581">
              <w:rPr>
                <w:i/>
              </w:rPr>
              <w:t xml:space="preserve">: ISO 10181-6 defines the basic concepts of integrity, </w:t>
            </w:r>
            <w:r w:rsidRPr="00B82581">
              <w:rPr>
                <w:i/>
              </w:rPr>
              <w:lastRenderedPageBreak/>
              <w:t>identical to the Confidentiality Framework.</w:t>
            </w:r>
          </w:p>
        </w:tc>
      </w:tr>
      <w:tr w:rsidR="00FD60A7" w:rsidRPr="00B82581" w14:paraId="7FF372B2" w14:textId="77777777">
        <w:trPr>
          <w:trHeight w:val="1027"/>
        </w:trPr>
        <w:tc>
          <w:tcPr>
            <w:tcW w:w="8672" w:type="dxa"/>
            <w:shd w:val="clear" w:color="auto" w:fill="F3F3F3"/>
          </w:tcPr>
          <w:p w14:paraId="18473CC8" w14:textId="77777777" w:rsidR="00FD60A7" w:rsidRPr="00B82581" w:rsidRDefault="00FD60A7" w:rsidP="007A1266">
            <w:pPr>
              <w:rPr>
                <w:i/>
              </w:rPr>
            </w:pPr>
            <w:r w:rsidRPr="00B82581">
              <w:rPr>
                <w:b/>
                <w:i/>
              </w:rPr>
              <w:lastRenderedPageBreak/>
              <w:t>Security Audits and Alarms Framework</w:t>
            </w:r>
            <w:r w:rsidRPr="00B82581">
              <w:rPr>
                <w:i/>
              </w:rPr>
              <w:t>: ISO 10181-7 defines the basic concepts for security audit and alarms and the relationship to other security services.</w:t>
            </w:r>
          </w:p>
        </w:tc>
      </w:tr>
    </w:tbl>
    <w:p w14:paraId="39841B66" w14:textId="4E6D9E5B" w:rsidR="00FD60A7" w:rsidRDefault="00427033">
      <w:pPr>
        <w:pStyle w:val="Normal1"/>
      </w:pPr>
      <w:r>
        <w:t>From a standardization aspect, the following frameworks are out of scope as their implementation is not relevant</w:t>
      </w:r>
      <w:r w:rsidR="004D7511">
        <w:t xml:space="preserve"> </w:t>
      </w:r>
      <w:r w:rsidR="00730916">
        <w:t xml:space="preserve">to an SDI </w:t>
      </w:r>
      <w:r w:rsidR="004D7511">
        <w:t>(for details please see OGC #15-022)</w:t>
      </w:r>
      <w:r>
        <w:t>:</w:t>
      </w:r>
    </w:p>
    <w:p w14:paraId="1C1BFC89" w14:textId="77777777" w:rsidR="00427033" w:rsidRDefault="00427033" w:rsidP="00354EA5">
      <w:pPr>
        <w:pStyle w:val="Normal1"/>
        <w:numPr>
          <w:ilvl w:val="0"/>
          <w:numId w:val="4"/>
        </w:numPr>
      </w:pPr>
      <w:r>
        <w:t>Non-repudiation Framework (ISO 10181-4)</w:t>
      </w:r>
    </w:p>
    <w:p w14:paraId="78B3DD7F" w14:textId="77777777" w:rsidR="00427033" w:rsidRDefault="00427033" w:rsidP="00354EA5">
      <w:pPr>
        <w:pStyle w:val="Normal1"/>
        <w:numPr>
          <w:ilvl w:val="0"/>
          <w:numId w:val="4"/>
        </w:numPr>
      </w:pPr>
      <w:r>
        <w:t>Security Audits and Alarms Framework (ISO 10181-7)</w:t>
      </w:r>
    </w:p>
    <w:p w14:paraId="27454727" w14:textId="77777777" w:rsidR="00044681" w:rsidRDefault="00606186">
      <w:pPr>
        <w:pStyle w:val="Heading1"/>
        <w:contextualSpacing w:val="0"/>
      </w:pPr>
      <w:bookmarkStart w:id="2" w:name="h.qu2dfwxbw0bm" w:colFirst="0" w:colLast="0"/>
      <w:bookmarkEnd w:id="2"/>
      <w:r>
        <w:rPr>
          <w:rFonts w:ascii="Arial" w:eastAsia="Arial" w:hAnsi="Arial" w:cs="Arial"/>
          <w:b/>
        </w:rPr>
        <w:t>2.    Purpose of this Standards Working Group</w:t>
      </w:r>
    </w:p>
    <w:p w14:paraId="27C759F1" w14:textId="503FAFB0" w:rsidR="00044681" w:rsidRDefault="00DF0FED">
      <w:pPr>
        <w:pStyle w:val="Normal1"/>
      </w:pPr>
      <w:r>
        <w:t>This SWG will create a Standard to d</w:t>
      </w:r>
      <w:r w:rsidR="00C6159A">
        <w:t xml:space="preserve">efine a common publication to declare that </w:t>
      </w:r>
      <w:r>
        <w:t>the</w:t>
      </w:r>
      <w:r w:rsidR="00C6159A">
        <w:t xml:space="preserve"> Service instance (represented by a URL) is protected by the implementation of one or </w:t>
      </w:r>
      <w:r w:rsidR="002B7FBA">
        <w:t xml:space="preserve">more </w:t>
      </w:r>
      <w:r w:rsidR="00C6159A">
        <w:t>security frameworks from ISO 10181.</w:t>
      </w:r>
    </w:p>
    <w:p w14:paraId="25D243ED" w14:textId="3643E009" w:rsidR="00C6159A" w:rsidRDefault="002B7FBA">
      <w:pPr>
        <w:pStyle w:val="Normal1"/>
        <w:rPr>
          <w:b/>
          <w:color w:val="auto"/>
        </w:rPr>
      </w:pPr>
      <w:r w:rsidRPr="00354EA5">
        <w:rPr>
          <w:b/>
        </w:rPr>
        <w:t>This SWG will</w:t>
      </w:r>
      <w:r w:rsidR="00C6159A" w:rsidRPr="00354EA5">
        <w:rPr>
          <w:b/>
        </w:rPr>
        <w:t xml:space="preserve"> normatively define how to </w:t>
      </w:r>
      <w:r w:rsidR="00DF0FED">
        <w:rPr>
          <w:b/>
        </w:rPr>
        <w:t>make available to a client a description of</w:t>
      </w:r>
      <w:r w:rsidR="00DF0FED" w:rsidRPr="00354EA5">
        <w:rPr>
          <w:b/>
        </w:rPr>
        <w:t xml:space="preserve"> </w:t>
      </w:r>
      <w:r w:rsidR="00C6159A" w:rsidRPr="00354EA5">
        <w:rPr>
          <w:b/>
        </w:rPr>
        <w:t>the implementation of security framework(s).</w:t>
      </w:r>
      <w:r w:rsidR="009716C2">
        <w:rPr>
          <w:b/>
        </w:rPr>
        <w:t xml:space="preserve">  </w:t>
      </w:r>
      <w:r w:rsidR="009716C2" w:rsidRPr="009716C2">
        <w:rPr>
          <w:b/>
        </w:rPr>
        <w:t xml:space="preserve">The SWG will not </w:t>
      </w:r>
      <w:r w:rsidR="009716C2" w:rsidRPr="005F53B2">
        <w:rPr>
          <w:b/>
          <w:color w:val="auto"/>
        </w:rPr>
        <w:t>provide solutions to implement the frameworks</w:t>
      </w:r>
      <w:r w:rsidR="00331AE5">
        <w:rPr>
          <w:b/>
          <w:color w:val="auto"/>
        </w:rPr>
        <w:t xml:space="preserve">, but will provide an </w:t>
      </w:r>
      <w:r w:rsidR="00331AE5">
        <w:t>Implementation Standard or extension and a separate Best Practice or User Guide for deployment options, described in paragraph 5</w:t>
      </w:r>
    </w:p>
    <w:p w14:paraId="0E84989E" w14:textId="5F688E05" w:rsidR="00C15948" w:rsidRPr="00354EA5" w:rsidRDefault="00C15948">
      <w:pPr>
        <w:pStyle w:val="Normal1"/>
        <w:rPr>
          <w:b/>
        </w:rPr>
      </w:pPr>
      <w:r>
        <w:rPr>
          <w:b/>
          <w:color w:val="auto"/>
        </w:rPr>
        <w:t xml:space="preserve">The type of standard is considered an extension to the existing OWS Common version 1.0, 1.1 and 2.0 to be able to </w:t>
      </w:r>
      <w:r w:rsidRPr="00C15948">
        <w:rPr>
          <w:b/>
          <w:bCs/>
          <w:color w:val="auto"/>
        </w:rPr>
        <w:t>add</w:t>
      </w:r>
      <w:r>
        <w:rPr>
          <w:b/>
          <w:color w:val="auto"/>
        </w:rPr>
        <w:t xml:space="preserve"> security by applying the extension. It shall be the goal </w:t>
      </w:r>
      <w:r w:rsidR="00DF0FED">
        <w:rPr>
          <w:b/>
          <w:color w:val="auto"/>
        </w:rPr>
        <w:t xml:space="preserve">of the SWG </w:t>
      </w:r>
      <w:r>
        <w:rPr>
          <w:b/>
          <w:color w:val="auto"/>
        </w:rPr>
        <w:t xml:space="preserve">to </w:t>
      </w:r>
      <w:r w:rsidR="00DF0FED">
        <w:rPr>
          <w:b/>
          <w:color w:val="auto"/>
        </w:rPr>
        <w:t xml:space="preserve">minimize security-related </w:t>
      </w:r>
      <w:r w:rsidR="00973BBC">
        <w:rPr>
          <w:b/>
          <w:color w:val="auto"/>
        </w:rPr>
        <w:t>Change Requests (</w:t>
      </w:r>
      <w:r>
        <w:rPr>
          <w:b/>
          <w:color w:val="auto"/>
        </w:rPr>
        <w:t>CRs</w:t>
      </w:r>
      <w:r w:rsidR="00973BBC">
        <w:rPr>
          <w:b/>
          <w:color w:val="auto"/>
        </w:rPr>
        <w:t>)</w:t>
      </w:r>
      <w:r>
        <w:rPr>
          <w:b/>
          <w:color w:val="auto"/>
        </w:rPr>
        <w:t xml:space="preserve"> to existing OGC Web Services standards or OWS Common.</w:t>
      </w:r>
    </w:p>
    <w:p w14:paraId="0FDF9DBF" w14:textId="77777777" w:rsidR="00044681" w:rsidRDefault="00606186">
      <w:pPr>
        <w:pStyle w:val="Heading1"/>
        <w:contextualSpacing w:val="0"/>
      </w:pPr>
      <w:bookmarkStart w:id="3" w:name="h.u0pwxuu0fsgm" w:colFirst="0" w:colLast="0"/>
      <w:bookmarkEnd w:id="3"/>
      <w:r>
        <w:rPr>
          <w:rFonts w:ascii="Arial" w:eastAsia="Arial" w:hAnsi="Arial" w:cs="Arial"/>
          <w:b/>
        </w:rPr>
        <w:t>3.    Business Value Proposition</w:t>
      </w:r>
    </w:p>
    <w:p w14:paraId="10B372A5" w14:textId="496DD831" w:rsidR="00044681" w:rsidRDefault="00CA6E8B">
      <w:pPr>
        <w:pStyle w:val="Normal1"/>
      </w:pPr>
      <w:r>
        <w:t xml:space="preserve">SWG Charter Members have recognized the need for OGC to </w:t>
      </w:r>
      <w:r w:rsidR="00331AE5">
        <w:t xml:space="preserve">act </w:t>
      </w:r>
      <w:r>
        <w:t xml:space="preserve">proactively with respect to web service security.  The SWG sees Business Value in being </w:t>
      </w:r>
      <w:r w:rsidR="00746817">
        <w:t xml:space="preserve">able to use protected OGC services in an interoperable way to enable commercial and </w:t>
      </w:r>
      <w:r w:rsidR="00DF0FED">
        <w:t xml:space="preserve">government </w:t>
      </w:r>
      <w:r w:rsidR="00746817">
        <w:t>use.</w:t>
      </w:r>
      <w:r w:rsidR="00606186">
        <w:t xml:space="preserve"> </w:t>
      </w:r>
      <w:r>
        <w:t xml:space="preserve"> </w:t>
      </w:r>
      <w:r w:rsidRPr="00CA6E8B">
        <w:t>The risks of data loss and theft continue to grow as mobile tools, cloud computing and social media go mainstream</w:t>
      </w:r>
      <w:r>
        <w:t>.  As OGC</w:t>
      </w:r>
      <w:r w:rsidR="00DF0FED">
        <w:t>-</w:t>
      </w:r>
      <w:r>
        <w:t>based services move to these platforms</w:t>
      </w:r>
      <w:r w:rsidR="00DF0FED">
        <w:t>,</w:t>
      </w:r>
      <w:r>
        <w:t xml:space="preserve"> a Common Security extension for OGC services based on mainstream IT becomes critical</w:t>
      </w:r>
      <w:r w:rsidRPr="00CA6E8B">
        <w:t>.</w:t>
      </w:r>
    </w:p>
    <w:p w14:paraId="4F41D7A4" w14:textId="77777777" w:rsidR="00044681" w:rsidRDefault="00606186">
      <w:pPr>
        <w:pStyle w:val="Heading1"/>
        <w:contextualSpacing w:val="0"/>
      </w:pPr>
      <w:bookmarkStart w:id="4" w:name="h.3ehlk1lv272n" w:colFirst="0" w:colLast="0"/>
      <w:bookmarkEnd w:id="4"/>
      <w:r>
        <w:rPr>
          <w:rFonts w:ascii="Arial" w:eastAsia="Arial" w:hAnsi="Arial" w:cs="Arial"/>
          <w:b/>
        </w:rPr>
        <w:lastRenderedPageBreak/>
        <w:t xml:space="preserve">4.    Scope of Work (Statement of Work, </w:t>
      </w:r>
      <w:proofErr w:type="spellStart"/>
      <w:r>
        <w:rPr>
          <w:rFonts w:ascii="Arial" w:eastAsia="Arial" w:hAnsi="Arial" w:cs="Arial"/>
          <w:b/>
        </w:rPr>
        <w:t>SoW</w:t>
      </w:r>
      <w:proofErr w:type="spellEnd"/>
      <w:r>
        <w:rPr>
          <w:rFonts w:ascii="Arial" w:eastAsia="Arial" w:hAnsi="Arial" w:cs="Arial"/>
          <w:b/>
        </w:rPr>
        <w:t>)</w:t>
      </w:r>
    </w:p>
    <w:p w14:paraId="2BFA9528" w14:textId="77777777" w:rsidR="001544AC" w:rsidRDefault="001544AC" w:rsidP="000D6838">
      <w:pPr>
        <w:pStyle w:val="Normal1"/>
      </w:pPr>
      <w:bookmarkStart w:id="5" w:name="h.cxud2rqakx1w" w:colFirst="0" w:colLast="0"/>
      <w:bookmarkEnd w:id="5"/>
      <w:r>
        <w:t xml:space="preserve">The SWG will </w:t>
      </w:r>
      <w:r w:rsidR="009716C2">
        <w:t xml:space="preserve">concentrate on the </w:t>
      </w:r>
      <w:r>
        <w:t>develop</w:t>
      </w:r>
      <w:r w:rsidR="009716C2">
        <w:t>ment of</w:t>
      </w:r>
      <w:r>
        <w:t xml:space="preserve"> a Security Extension to OWS Common 1</w:t>
      </w:r>
      <w:r w:rsidR="00FB453D">
        <w:t>.</w:t>
      </w:r>
      <w:r>
        <w:t>0</w:t>
      </w:r>
      <w:r w:rsidR="00FB453D">
        <w:t>,</w:t>
      </w:r>
      <w:r>
        <w:t xml:space="preserve"> 1.1.0 and 2.0</w:t>
      </w:r>
    </w:p>
    <w:p w14:paraId="4738EC8F" w14:textId="77777777" w:rsidR="000D6838" w:rsidRDefault="00FB453D" w:rsidP="000D6838">
      <w:pPr>
        <w:pStyle w:val="Normal1"/>
      </w:pPr>
      <w:r>
        <w:t>The SWG will d</w:t>
      </w:r>
      <w:r w:rsidR="006C3404">
        <w:t>efine the u</w:t>
      </w:r>
      <w:r w:rsidR="000D6838">
        <w:t xml:space="preserve">se of security code lists for ISO metadata in </w:t>
      </w:r>
      <w:r w:rsidR="006C3404">
        <w:t xml:space="preserve">an </w:t>
      </w:r>
      <w:r w:rsidR="000D6838">
        <w:t>informative annex.</w:t>
      </w:r>
    </w:p>
    <w:p w14:paraId="6DD7F94C" w14:textId="3C42011A" w:rsidR="000D6838" w:rsidRDefault="00FB453D" w:rsidP="000D6838">
      <w:pPr>
        <w:pStyle w:val="Normal1"/>
      </w:pPr>
      <w:r>
        <w:t>The SWG will d</w:t>
      </w:r>
      <w:r w:rsidR="006C3404">
        <w:t xml:space="preserve">efine implementation guidelines and requirements addressing the </w:t>
      </w:r>
      <w:r w:rsidR="00973BBC">
        <w:t>World Wide Web Consortium (</w:t>
      </w:r>
      <w:r w:rsidR="006C3404">
        <w:t>W3C</w:t>
      </w:r>
      <w:r w:rsidR="00973BBC">
        <w:t>)</w:t>
      </w:r>
      <w:r w:rsidR="006C3404">
        <w:t xml:space="preserve"> </w:t>
      </w:r>
      <w:r w:rsidR="00973BBC">
        <w:t>Requests for Comments (</w:t>
      </w:r>
      <w:r w:rsidR="000D6838">
        <w:t>RFCs</w:t>
      </w:r>
      <w:r w:rsidR="00973BBC">
        <w:t>)</w:t>
      </w:r>
      <w:r w:rsidR="000D6838">
        <w:t xml:space="preserve"> in </w:t>
      </w:r>
      <w:r w:rsidR="006C3404">
        <w:t xml:space="preserve">the </w:t>
      </w:r>
      <w:r w:rsidR="000D6838">
        <w:t xml:space="preserve">Security </w:t>
      </w:r>
      <w:r w:rsidR="006C3404">
        <w:t>E</w:t>
      </w:r>
      <w:r w:rsidR="000D6838">
        <w:t xml:space="preserve">xtension. Implication for the extension is that the full RFC 2616 (including all HTTP verbs and status codes) use is permitted. </w:t>
      </w:r>
    </w:p>
    <w:p w14:paraId="1183C02A" w14:textId="77777777" w:rsidR="00FB453D" w:rsidRDefault="00FB453D" w:rsidP="000D6838">
      <w:pPr>
        <w:pStyle w:val="Normal1"/>
      </w:pPr>
      <w:r>
        <w:t xml:space="preserve">The SWG will provide deployment guidance regarding main stream IT use in Apache as </w:t>
      </w:r>
      <w:r w:rsidR="00331AE5">
        <w:t xml:space="preserve">an informative </w:t>
      </w:r>
      <w:r>
        <w:t>annex.</w:t>
      </w:r>
    </w:p>
    <w:p w14:paraId="066FBFF0" w14:textId="77777777" w:rsidR="0085459A" w:rsidRDefault="0085459A" w:rsidP="000D6838">
      <w:pPr>
        <w:pStyle w:val="Normal1"/>
      </w:pPr>
      <w:r>
        <w:t>The SWG will mandate the use of HTTP over TLS (HTTPS) for the security extension. The implication is an extension to the OWS schema for HTTPS to become a valid protocol.</w:t>
      </w:r>
    </w:p>
    <w:p w14:paraId="082301E7" w14:textId="12B70089" w:rsidR="00FB453D" w:rsidRDefault="00FB453D" w:rsidP="00FB453D">
      <w:pPr>
        <w:pStyle w:val="Normal1"/>
      </w:pPr>
      <w:r>
        <w:t>The SWG will develop additional guidance to address Authentication and Authorization requirements with examples on how to implement / deploy the proposed security extension (i</w:t>
      </w:r>
      <w:r w:rsidR="003C2552">
        <w:t>.</w:t>
      </w:r>
      <w:r>
        <w:t>e</w:t>
      </w:r>
      <w:r w:rsidR="003C2552">
        <w:t>.,</w:t>
      </w:r>
      <w:r>
        <w:t xml:space="preserve"> Proxy).</w:t>
      </w:r>
    </w:p>
    <w:p w14:paraId="420CB8BC" w14:textId="77777777" w:rsidR="00FB453D" w:rsidRDefault="007256AD" w:rsidP="000D6838">
      <w:pPr>
        <w:pStyle w:val="Normal1"/>
      </w:pPr>
      <w:r>
        <w:t xml:space="preserve">The SWG will </w:t>
      </w:r>
      <w:r w:rsidR="00FB453D">
        <w:t>evaluate the role of SOAP in the Common Security framework.</w:t>
      </w:r>
    </w:p>
    <w:p w14:paraId="7D17D883" w14:textId="1704A80A" w:rsidR="007256AD" w:rsidRDefault="00FB453D" w:rsidP="000D6838">
      <w:pPr>
        <w:pStyle w:val="Normal1"/>
      </w:pPr>
      <w:r>
        <w:t xml:space="preserve">The SWG will </w:t>
      </w:r>
      <w:r w:rsidR="007256AD">
        <w:t xml:space="preserve">provide example WSDL documents including guidance </w:t>
      </w:r>
      <w:r w:rsidR="003C2552">
        <w:t xml:space="preserve">on </w:t>
      </w:r>
      <w:r w:rsidR="007256AD">
        <w:t>how to embed WS-* and WS-Policy when using SOAP</w:t>
      </w:r>
      <w:r w:rsidR="003C2552">
        <w:t>.</w:t>
      </w:r>
    </w:p>
    <w:p w14:paraId="16DA2017" w14:textId="5B6A1CD3" w:rsidR="005D36DA" w:rsidRDefault="005D36DA" w:rsidP="000D6838">
      <w:pPr>
        <w:pStyle w:val="Normal1"/>
      </w:pPr>
      <w:r>
        <w:t>The SWG will provide a common mechanism to transport binary or XML Schema data</w:t>
      </w:r>
      <w:r w:rsidR="003C2552">
        <w:t>.</w:t>
      </w:r>
    </w:p>
    <w:p w14:paraId="490DC7A1" w14:textId="77777777" w:rsidR="005D36DA" w:rsidRDefault="005D36DA" w:rsidP="00354EA5">
      <w:r>
        <w:t xml:space="preserve">The SWG will develop recommendations on how to organize support for Common Security in conformance classes, including SOAP. </w:t>
      </w:r>
    </w:p>
    <w:p w14:paraId="30B04AF3" w14:textId="77777777" w:rsidR="005A227A" w:rsidRDefault="005D36DA" w:rsidP="005F53B2">
      <w:r>
        <w:t>The SWG will develop recommendations on the usage of the “</w:t>
      </w:r>
      <w:r w:rsidRPr="00EB5598">
        <w:t>action" attribute on the application/</w:t>
      </w:r>
      <w:proofErr w:type="spellStart"/>
      <w:r w:rsidRPr="00EB5598">
        <w:t>soap+xml</w:t>
      </w:r>
      <w:proofErr w:type="spellEnd"/>
      <w:r w:rsidRPr="00EB5598">
        <w:t xml:space="preserve"> media type typically provided as part of the HTTP header</w:t>
      </w:r>
      <w:r>
        <w:t xml:space="preserve">. </w:t>
      </w:r>
    </w:p>
    <w:p w14:paraId="76380F7C" w14:textId="6331EC5B" w:rsidR="007D4D65" w:rsidRDefault="007D4D65" w:rsidP="000D6838">
      <w:pPr>
        <w:pStyle w:val="Normal1"/>
      </w:pPr>
      <w:bookmarkStart w:id="6" w:name="_Toc292650386"/>
      <w:r>
        <w:t xml:space="preserve">The SWG will define and describe a </w:t>
      </w:r>
      <w:r w:rsidRPr="00354EA5">
        <w:t>Common Security</w:t>
      </w:r>
      <w:r>
        <w:t xml:space="preserve"> framework for OGC Service Capabilities document</w:t>
      </w:r>
      <w:bookmarkEnd w:id="6"/>
      <w:r>
        <w:t>s</w:t>
      </w:r>
      <w:r w:rsidR="003C2552">
        <w:t>.</w:t>
      </w:r>
    </w:p>
    <w:p w14:paraId="5FB705A0" w14:textId="66016E33" w:rsidR="000D6838" w:rsidRDefault="0003235B" w:rsidP="000D6838">
      <w:pPr>
        <w:pStyle w:val="Normal1"/>
      </w:pPr>
      <w:r>
        <w:t xml:space="preserve">The SWG will submit a </w:t>
      </w:r>
      <w:r w:rsidR="000D6838">
        <w:t>WFS 1.1.0 CR to normatively reference OWS Common 1.x or 2.0</w:t>
      </w:r>
      <w:r w:rsidR="00FB453D">
        <w:t xml:space="preserve"> allowing for the use of</w:t>
      </w:r>
      <w:r w:rsidR="005F53B2">
        <w:t xml:space="preserve"> </w:t>
      </w:r>
      <w:proofErr w:type="spellStart"/>
      <w:proofErr w:type="gramStart"/>
      <w:r w:rsidR="000D6838">
        <w:t>ows:Constraint</w:t>
      </w:r>
      <w:proofErr w:type="spellEnd"/>
      <w:proofErr w:type="gramEnd"/>
      <w:r w:rsidR="000D6838">
        <w:t xml:space="preserve"> for advertising the security constraints</w:t>
      </w:r>
    </w:p>
    <w:p w14:paraId="0B5FB574" w14:textId="7F93FA94" w:rsidR="000D6838" w:rsidRDefault="0003235B" w:rsidP="000D6838">
      <w:pPr>
        <w:pStyle w:val="Normal1"/>
      </w:pPr>
      <w:r>
        <w:t>The SWG will work on</w:t>
      </w:r>
      <w:r w:rsidR="00ED1271">
        <w:t xml:space="preserve"> an alternate solution f</w:t>
      </w:r>
      <w:r w:rsidR="000D6838">
        <w:t xml:space="preserve">or WMS 1.3 (and WMS 1.1.x) </w:t>
      </w:r>
      <w:r w:rsidR="00ED1271">
        <w:t xml:space="preserve">to </w:t>
      </w:r>
      <w:r w:rsidR="000D6838">
        <w:t xml:space="preserve">use </w:t>
      </w:r>
      <w:proofErr w:type="spellStart"/>
      <w:r w:rsidR="000D6838">
        <w:t>ExtendedCapabilities</w:t>
      </w:r>
      <w:proofErr w:type="spellEnd"/>
      <w:r w:rsidR="000D6838">
        <w:t xml:space="preserve"> </w:t>
      </w:r>
      <w:r w:rsidR="00ED1271">
        <w:t>as a placeholder for</w:t>
      </w:r>
      <w:r w:rsidR="000D6838">
        <w:t xml:space="preserve"> </w:t>
      </w:r>
      <w:proofErr w:type="spellStart"/>
      <w:proofErr w:type="gramStart"/>
      <w:r w:rsidR="000D6838">
        <w:t>ows:Constraint</w:t>
      </w:r>
      <w:proofErr w:type="spellEnd"/>
      <w:proofErr w:type="gramEnd"/>
      <w:r w:rsidR="000D6838">
        <w:t>.</w:t>
      </w:r>
    </w:p>
    <w:p w14:paraId="71C0CCF3" w14:textId="77777777" w:rsidR="00FB453D" w:rsidRDefault="00FB453D" w:rsidP="000D6838">
      <w:pPr>
        <w:pStyle w:val="Normal1"/>
      </w:pPr>
      <w:r>
        <w:lastRenderedPageBreak/>
        <w:t>The SWG will prepare security related Change Requests against OGC Service Standards on an as needed basis.</w:t>
      </w:r>
    </w:p>
    <w:p w14:paraId="0C836DC2" w14:textId="3C49F5C0" w:rsidR="000D6838" w:rsidRDefault="005A227A" w:rsidP="000D6838">
      <w:pPr>
        <w:pStyle w:val="Normal1"/>
      </w:pPr>
      <w:r>
        <w:t xml:space="preserve">The SWG will define </w:t>
      </w:r>
      <w:r w:rsidR="000D6838">
        <w:t xml:space="preserve">Client side </w:t>
      </w:r>
      <w:r>
        <w:t xml:space="preserve">requirements and </w:t>
      </w:r>
      <w:r w:rsidR="000D6838">
        <w:t>implications</w:t>
      </w:r>
      <w:r>
        <w:t xml:space="preserve"> for Security support including those needed for</w:t>
      </w:r>
      <w:r w:rsidR="000D6838">
        <w:t>: (</w:t>
      </w:r>
      <w:proofErr w:type="spellStart"/>
      <w:r w:rsidR="000D6838">
        <w:t>i</w:t>
      </w:r>
      <w:proofErr w:type="spellEnd"/>
      <w:r w:rsidR="000D6838">
        <w:t>) communication and (ii) processing</w:t>
      </w:r>
      <w:r w:rsidR="003C2552">
        <w:t>.</w:t>
      </w:r>
    </w:p>
    <w:p w14:paraId="2916591C" w14:textId="77777777" w:rsidR="00044681" w:rsidRDefault="00606186">
      <w:pPr>
        <w:pStyle w:val="Heading2"/>
        <w:spacing w:before="360" w:after="80"/>
        <w:contextualSpacing w:val="0"/>
      </w:pPr>
      <w:r>
        <w:t>4.1</w:t>
      </w:r>
      <w:r>
        <w:tab/>
        <w:t>Statement of relationship of planned work to the current OGC standards baseline</w:t>
      </w:r>
    </w:p>
    <w:p w14:paraId="59655266" w14:textId="791D3072" w:rsidR="00746817" w:rsidRDefault="007D4D65" w:rsidP="00746817">
      <w:pPr>
        <w:pStyle w:val="Normal1"/>
      </w:pPr>
      <w:r>
        <w:t xml:space="preserve">The OWS Common Security SWG will provide input on a Common Security extension to the new </w:t>
      </w:r>
      <w:r w:rsidR="00746817">
        <w:t>OWS Common</w:t>
      </w:r>
      <w:r>
        <w:t xml:space="preserve"> SWG</w:t>
      </w:r>
      <w:bookmarkStart w:id="7" w:name="h.kr7yo17ufr0c" w:colFirst="0" w:colLast="0"/>
      <w:bookmarkEnd w:id="7"/>
      <w:r w:rsidR="003C2552">
        <w:t>.</w:t>
      </w:r>
    </w:p>
    <w:p w14:paraId="1F16FAFC" w14:textId="101AC223" w:rsidR="00746817" w:rsidRDefault="007D4D65" w:rsidP="00746817">
      <w:pPr>
        <w:pStyle w:val="Normal1"/>
      </w:pPr>
      <w:r>
        <w:t xml:space="preserve">The OWS Common Security SWG will provide input </w:t>
      </w:r>
      <w:r w:rsidR="00DB1B88">
        <w:t xml:space="preserve">to the suite of </w:t>
      </w:r>
      <w:r w:rsidR="00746817">
        <w:t xml:space="preserve">OGC Web Service </w:t>
      </w:r>
      <w:r w:rsidR="00DB1B88">
        <w:t>SWGs through the development of Change Requests as needed</w:t>
      </w:r>
      <w:r w:rsidR="003C2552">
        <w:t>.</w:t>
      </w:r>
    </w:p>
    <w:p w14:paraId="4FA7468D" w14:textId="77777777" w:rsidR="00044681" w:rsidRDefault="00606186">
      <w:pPr>
        <w:pStyle w:val="Heading2"/>
        <w:contextualSpacing w:val="0"/>
      </w:pPr>
      <w:r>
        <w:t>4.2</w:t>
      </w:r>
      <w:r>
        <w:tab/>
        <w:t>What is Out of Scope?</w:t>
      </w:r>
    </w:p>
    <w:p w14:paraId="5F4A611E" w14:textId="77777777" w:rsidR="00044681" w:rsidRDefault="006C3404">
      <w:pPr>
        <w:pStyle w:val="Normal1"/>
      </w:pPr>
      <w:r>
        <w:t>Normative guidance on h</w:t>
      </w:r>
      <w:r w:rsidR="00811610">
        <w:t xml:space="preserve">ow </w:t>
      </w:r>
      <w:r>
        <w:t xml:space="preserve">to implement a specific </w:t>
      </w:r>
      <w:r w:rsidR="00811610">
        <w:t>security framework. This is up to each provider.</w:t>
      </w:r>
      <w:r w:rsidR="00606186">
        <w:t xml:space="preserve">  </w:t>
      </w:r>
    </w:p>
    <w:p w14:paraId="437CAA31" w14:textId="77777777" w:rsidR="00044681" w:rsidRDefault="00606186">
      <w:pPr>
        <w:pStyle w:val="Heading2"/>
        <w:contextualSpacing w:val="0"/>
      </w:pPr>
      <w:bookmarkStart w:id="8" w:name="h.ndsf4y895io5" w:colFirst="0" w:colLast="0"/>
      <w:bookmarkEnd w:id="8"/>
      <w:r>
        <w:t>4.3</w:t>
      </w:r>
      <w:r>
        <w:tab/>
        <w:t>Specific Contribution of Existing Work as a Starting Point</w:t>
      </w:r>
    </w:p>
    <w:p w14:paraId="209A0207" w14:textId="77777777" w:rsidR="007A1266" w:rsidRDefault="007A1266">
      <w:pPr>
        <w:pStyle w:val="Normal1"/>
      </w:pPr>
      <w:r>
        <w:t>The SWG will analyze the results and recommendations from OGC Testbed 11 related to Security requirements to include:</w:t>
      </w:r>
    </w:p>
    <w:p w14:paraId="4F4C936B" w14:textId="0F5CB3E6" w:rsidR="007A1266" w:rsidRPr="0003235B" w:rsidRDefault="007A1266" w:rsidP="0003235B">
      <w:pPr>
        <w:pStyle w:val="Normal1"/>
        <w:numPr>
          <w:ilvl w:val="0"/>
          <w:numId w:val="6"/>
        </w:numPr>
        <w:rPr>
          <w:szCs w:val="24"/>
        </w:rPr>
      </w:pPr>
      <w:r w:rsidRPr="0003235B">
        <w:rPr>
          <w:szCs w:val="24"/>
        </w:rPr>
        <w:t>15-022</w:t>
      </w:r>
      <w:r w:rsidR="00973BBC">
        <w:rPr>
          <w:szCs w:val="24"/>
        </w:rPr>
        <w:t xml:space="preserve"> </w:t>
      </w:r>
      <w:r w:rsidRPr="0003235B">
        <w:rPr>
          <w:szCs w:val="24"/>
        </w:rPr>
        <w:t>Testbed</w:t>
      </w:r>
      <w:r w:rsidR="00973BBC">
        <w:rPr>
          <w:szCs w:val="24"/>
        </w:rPr>
        <w:t xml:space="preserve"> </w:t>
      </w:r>
      <w:r w:rsidRPr="0003235B">
        <w:rPr>
          <w:szCs w:val="24"/>
        </w:rPr>
        <w:t>11</w:t>
      </w:r>
      <w:r w:rsidR="00973BBC">
        <w:rPr>
          <w:szCs w:val="24"/>
        </w:rPr>
        <w:t xml:space="preserve"> </w:t>
      </w:r>
      <w:r w:rsidRPr="0003235B">
        <w:rPr>
          <w:szCs w:val="24"/>
        </w:rPr>
        <w:t>Implementing</w:t>
      </w:r>
      <w:r w:rsidR="00973BBC">
        <w:rPr>
          <w:szCs w:val="24"/>
        </w:rPr>
        <w:t xml:space="preserve"> </w:t>
      </w:r>
      <w:r w:rsidRPr="0003235B">
        <w:rPr>
          <w:szCs w:val="24"/>
        </w:rPr>
        <w:t>Common</w:t>
      </w:r>
      <w:r w:rsidR="00973BBC">
        <w:rPr>
          <w:szCs w:val="24"/>
        </w:rPr>
        <w:t xml:space="preserve"> </w:t>
      </w:r>
      <w:r w:rsidRPr="0003235B">
        <w:rPr>
          <w:szCs w:val="24"/>
        </w:rPr>
        <w:t>Security</w:t>
      </w:r>
      <w:r w:rsidR="00973BBC">
        <w:rPr>
          <w:szCs w:val="24"/>
        </w:rPr>
        <w:t xml:space="preserve"> </w:t>
      </w:r>
      <w:r w:rsidRPr="0003235B">
        <w:rPr>
          <w:szCs w:val="24"/>
        </w:rPr>
        <w:t>Across</w:t>
      </w:r>
      <w:r w:rsidR="00973BBC">
        <w:rPr>
          <w:szCs w:val="24"/>
        </w:rPr>
        <w:t xml:space="preserve"> </w:t>
      </w:r>
      <w:r w:rsidRPr="0003235B">
        <w:rPr>
          <w:szCs w:val="24"/>
        </w:rPr>
        <w:t>the</w:t>
      </w:r>
      <w:r w:rsidR="00973BBC">
        <w:rPr>
          <w:szCs w:val="24"/>
        </w:rPr>
        <w:t xml:space="preserve"> </w:t>
      </w:r>
      <w:r w:rsidRPr="0003235B">
        <w:rPr>
          <w:szCs w:val="24"/>
        </w:rPr>
        <w:t>OGC</w:t>
      </w:r>
      <w:r w:rsidR="00973BBC">
        <w:rPr>
          <w:szCs w:val="24"/>
        </w:rPr>
        <w:t xml:space="preserve"> </w:t>
      </w:r>
      <w:r w:rsidRPr="0003235B">
        <w:rPr>
          <w:szCs w:val="24"/>
        </w:rPr>
        <w:t>Suite</w:t>
      </w:r>
      <w:r w:rsidR="00973BBC">
        <w:rPr>
          <w:szCs w:val="24"/>
        </w:rPr>
        <w:t xml:space="preserve"> </w:t>
      </w:r>
      <w:r w:rsidRPr="0003235B">
        <w:rPr>
          <w:szCs w:val="24"/>
        </w:rPr>
        <w:t>of</w:t>
      </w:r>
      <w:r w:rsidR="00973BBC">
        <w:rPr>
          <w:szCs w:val="24"/>
        </w:rPr>
        <w:t xml:space="preserve"> </w:t>
      </w:r>
      <w:r w:rsidRPr="0003235B">
        <w:rPr>
          <w:szCs w:val="24"/>
        </w:rPr>
        <w:t>Service</w:t>
      </w:r>
      <w:r w:rsidR="00973BBC">
        <w:rPr>
          <w:szCs w:val="24"/>
        </w:rPr>
        <w:t xml:space="preserve"> </w:t>
      </w:r>
      <w:r w:rsidRPr="0003235B">
        <w:rPr>
          <w:szCs w:val="24"/>
        </w:rPr>
        <w:t>Standards</w:t>
      </w:r>
    </w:p>
    <w:p w14:paraId="47C057A6" w14:textId="77777777" w:rsidR="007A1266" w:rsidRPr="0003235B" w:rsidRDefault="007A1266" w:rsidP="0003235B">
      <w:pPr>
        <w:pStyle w:val="Normal1"/>
        <w:numPr>
          <w:ilvl w:val="0"/>
          <w:numId w:val="6"/>
        </w:numPr>
        <w:rPr>
          <w:szCs w:val="24"/>
        </w:rPr>
      </w:pPr>
      <w:r w:rsidRPr="0003235B">
        <w:rPr>
          <w:szCs w:val="24"/>
        </w:rPr>
        <w:t>15-077</w:t>
      </w:r>
      <w:r w:rsidR="005A227A" w:rsidRPr="0003235B">
        <w:rPr>
          <w:szCs w:val="24"/>
        </w:rPr>
        <w:t xml:space="preserve"> Testbed-11 SOAP Interface</w:t>
      </w:r>
    </w:p>
    <w:p w14:paraId="38EF44BC" w14:textId="77777777" w:rsidR="005A227A" w:rsidRPr="0003235B" w:rsidRDefault="005A227A" w:rsidP="0003235B">
      <w:pPr>
        <w:pStyle w:val="Normal1"/>
        <w:numPr>
          <w:ilvl w:val="0"/>
          <w:numId w:val="6"/>
        </w:numPr>
        <w:rPr>
          <w:szCs w:val="24"/>
        </w:rPr>
      </w:pPr>
      <w:r w:rsidRPr="0003235B">
        <w:rPr>
          <w:szCs w:val="24"/>
        </w:rPr>
        <w:t>15-052 Testbed -11 REST Interface</w:t>
      </w:r>
    </w:p>
    <w:p w14:paraId="4E2CBA6F" w14:textId="77777777" w:rsidR="009C7EB0" w:rsidRPr="003C2552" w:rsidRDefault="009C7EB0" w:rsidP="0003235B">
      <w:pPr>
        <w:pStyle w:val="Normal1"/>
        <w:numPr>
          <w:ilvl w:val="0"/>
          <w:numId w:val="6"/>
        </w:numPr>
        <w:rPr>
          <w:szCs w:val="24"/>
        </w:rPr>
      </w:pPr>
      <w:r w:rsidRPr="003C2552">
        <w:rPr>
          <w:szCs w:val="24"/>
        </w:rPr>
        <w:t>CR to WFS 1.1.0</w:t>
      </w:r>
      <w:r w:rsidR="008E1F1D" w:rsidRPr="003C2552">
        <w:rPr>
          <w:szCs w:val="24"/>
        </w:rPr>
        <w:t xml:space="preserve"> to fix broken normative reference to OWS Common 0.0.3</w:t>
      </w:r>
    </w:p>
    <w:p w14:paraId="24F921DF" w14:textId="77777777" w:rsidR="00044681" w:rsidRDefault="00606186">
      <w:pPr>
        <w:pStyle w:val="Heading2"/>
        <w:contextualSpacing w:val="0"/>
      </w:pPr>
      <w:bookmarkStart w:id="9" w:name="h.9vz91ws5l807" w:colFirst="0" w:colLast="0"/>
      <w:bookmarkEnd w:id="9"/>
      <w:r>
        <w:t>4.4</w:t>
      </w:r>
      <w:r>
        <w:tab/>
        <w:t>Determination of SWG Completion</w:t>
      </w:r>
    </w:p>
    <w:p w14:paraId="049530EC" w14:textId="77777777" w:rsidR="00044681" w:rsidRDefault="00DB1B88">
      <w:pPr>
        <w:pStyle w:val="Normal1"/>
      </w:pPr>
      <w:r>
        <w:t>The OWS Common Security SWG work will be completed when all the tasks defined in paragraph 4. above have been completed</w:t>
      </w:r>
      <w:r w:rsidR="00331AE5">
        <w:t>, and the deliverables described in paragraph 5 produced.</w:t>
      </w:r>
      <w:r>
        <w:t xml:space="preserve">  </w:t>
      </w:r>
    </w:p>
    <w:p w14:paraId="6A827718" w14:textId="77777777" w:rsidR="00044681" w:rsidRDefault="00606186">
      <w:pPr>
        <w:pStyle w:val="Heading2"/>
        <w:contextualSpacing w:val="0"/>
      </w:pPr>
      <w:bookmarkStart w:id="10" w:name="h.sozm4j7loou0" w:colFirst="0" w:colLast="0"/>
      <w:bookmarkEnd w:id="10"/>
      <w:r>
        <w:t>4.5</w:t>
      </w:r>
      <w:r>
        <w:tab/>
        <w:t>Persistent SWG?</w:t>
      </w:r>
    </w:p>
    <w:p w14:paraId="2A1FB7C0" w14:textId="726E4463" w:rsidR="00044681" w:rsidRDefault="00973BBC" w:rsidP="00C654F5">
      <w:pPr>
        <w:pStyle w:val="Normal1"/>
        <w:contextualSpacing/>
      </w:pPr>
      <w:r>
        <w:t>Yes</w:t>
      </w:r>
    </w:p>
    <w:p w14:paraId="1DD90709" w14:textId="0B426EE6" w:rsidR="00044681" w:rsidRDefault="00606186">
      <w:pPr>
        <w:pStyle w:val="Heading2"/>
        <w:contextualSpacing w:val="0"/>
      </w:pPr>
      <w:bookmarkStart w:id="11" w:name="h.ogmwqtqmhb86" w:colFirst="0" w:colLast="0"/>
      <w:bookmarkEnd w:id="11"/>
      <w:r>
        <w:lastRenderedPageBreak/>
        <w:t>4.6</w:t>
      </w:r>
      <w:r>
        <w:tab/>
        <w:t xml:space="preserve">When can SWG be </w:t>
      </w:r>
      <w:r w:rsidR="00973BBC">
        <w:t>made inactive</w:t>
      </w:r>
      <w:r>
        <w:t>?</w:t>
      </w:r>
    </w:p>
    <w:p w14:paraId="29EFA648" w14:textId="5E7A05E7" w:rsidR="00044681" w:rsidRDefault="00DB1B88">
      <w:pPr>
        <w:pStyle w:val="Normal1"/>
      </w:pPr>
      <w:r>
        <w:t>Upon completion of the tasks identified in Paragraph 4 have been accomplished</w:t>
      </w:r>
      <w:r w:rsidR="00973BBC">
        <w:t>.</w:t>
      </w:r>
    </w:p>
    <w:p w14:paraId="69CAF2F8" w14:textId="77777777" w:rsidR="00044681" w:rsidRDefault="00606186">
      <w:pPr>
        <w:pStyle w:val="Heading1"/>
        <w:contextualSpacing w:val="0"/>
      </w:pPr>
      <w:bookmarkStart w:id="12" w:name="h.2k1u8ovkdr7r" w:colFirst="0" w:colLast="0"/>
      <w:bookmarkEnd w:id="12"/>
      <w:r>
        <w:rPr>
          <w:rFonts w:ascii="Arial" w:eastAsia="Arial" w:hAnsi="Arial" w:cs="Arial"/>
          <w:b/>
        </w:rPr>
        <w:t>5.    Description of Deliverables</w:t>
      </w:r>
    </w:p>
    <w:p w14:paraId="29D7F3A1" w14:textId="0EA51472" w:rsidR="00044681" w:rsidRDefault="00DB1B88" w:rsidP="00B72B75">
      <w:pPr>
        <w:pStyle w:val="Normal1"/>
        <w:contextualSpacing/>
      </w:pPr>
      <w:r>
        <w:t>The OWS Common Security SWG anticipates 2 deliverables</w:t>
      </w:r>
      <w:r w:rsidR="00973BBC">
        <w:t>:</w:t>
      </w:r>
      <w:r>
        <w:t xml:space="preserve"> one </w:t>
      </w:r>
      <w:r w:rsidR="00B72B75">
        <w:t xml:space="preserve">Implementation Standard </w:t>
      </w:r>
      <w:r>
        <w:t xml:space="preserve">or extension and a separate </w:t>
      </w:r>
      <w:r w:rsidR="00B72B75">
        <w:t xml:space="preserve">Best </w:t>
      </w:r>
      <w:r w:rsidR="000D6838">
        <w:t>Practice</w:t>
      </w:r>
      <w:r>
        <w:t xml:space="preserve"> or User Guide</w:t>
      </w:r>
      <w:r w:rsidR="00606186">
        <w:t xml:space="preserve"> </w:t>
      </w:r>
      <w:r w:rsidR="00A05141">
        <w:t>for deployment options.</w:t>
      </w:r>
    </w:p>
    <w:p w14:paraId="5CAA31AA" w14:textId="77777777" w:rsidR="00044681" w:rsidRDefault="00606186">
      <w:pPr>
        <w:pStyle w:val="Heading1"/>
        <w:contextualSpacing w:val="0"/>
      </w:pPr>
      <w:bookmarkStart w:id="13" w:name="h.fz7wxpalnvht" w:colFirst="0" w:colLast="0"/>
      <w:bookmarkEnd w:id="13"/>
      <w:r>
        <w:rPr>
          <w:rFonts w:ascii="Arial" w:eastAsia="Arial" w:hAnsi="Arial" w:cs="Arial"/>
          <w:b/>
        </w:rPr>
        <w:t>6.    IPR Policy for this SWG</w:t>
      </w:r>
    </w:p>
    <w:p w14:paraId="08404038" w14:textId="77777777" w:rsidR="00044681" w:rsidRDefault="00B72B75">
      <w:pPr>
        <w:pStyle w:val="Normal1"/>
        <w:jc w:val="both"/>
      </w:pPr>
      <w:r>
        <w:t>x</w:t>
      </w:r>
      <w:r w:rsidR="00606186">
        <w:t xml:space="preserve"> RAND-Royalty Free.  </w:t>
      </w:r>
      <w:r w:rsidR="00606186">
        <w:rPr>
          <w:rFonts w:ascii="Xingkai SC Light" w:hAnsi="Xingkai SC Light" w:cs="Xingkai SC Light"/>
        </w:rPr>
        <w:t></w:t>
      </w:r>
      <w:r w:rsidR="00606186">
        <w:t xml:space="preserve">  RAND for fee</w:t>
      </w:r>
    </w:p>
    <w:p w14:paraId="23EC68AE" w14:textId="6E0E174D" w:rsidR="00044681" w:rsidRPr="007F782E" w:rsidRDefault="00606186" w:rsidP="0003235B">
      <w:pPr>
        <w:pStyle w:val="Heading1"/>
      </w:pPr>
      <w:bookmarkStart w:id="14" w:name="h.jdy2k9obwzcw" w:colFirst="0" w:colLast="0"/>
      <w:bookmarkEnd w:id="14"/>
      <w:r w:rsidRPr="0003235B">
        <w:rPr>
          <w:rFonts w:ascii="Arial" w:hAnsi="Arial" w:cs="Arial"/>
          <w:b/>
        </w:rPr>
        <w:t>7.</w:t>
      </w:r>
      <w:r w:rsidR="00973BBC">
        <w:rPr>
          <w:rFonts w:ascii="Arial" w:hAnsi="Arial" w:cs="Arial"/>
          <w:b/>
        </w:rPr>
        <w:tab/>
      </w:r>
      <w:r w:rsidRPr="0003235B">
        <w:rPr>
          <w:rFonts w:ascii="Arial" w:hAnsi="Arial" w:cs="Arial"/>
          <w:b/>
        </w:rPr>
        <w:t>Anticipated Participants</w:t>
      </w:r>
    </w:p>
    <w:p w14:paraId="3F78A7DD" w14:textId="1246CB61" w:rsidR="00044681" w:rsidRDefault="00B72B75">
      <w:pPr>
        <w:pStyle w:val="Normal1"/>
      </w:pPr>
      <w:r>
        <w:t>Security</w:t>
      </w:r>
      <w:r w:rsidR="00606186">
        <w:t xml:space="preserve"> DWG</w:t>
      </w:r>
      <w:r w:rsidR="000021FA">
        <w:t xml:space="preserve"> participants and OGC members which operate or want to operate secured OGC Web Services and any security experts of those members.</w:t>
      </w:r>
    </w:p>
    <w:p w14:paraId="12CC9C29" w14:textId="77777777" w:rsidR="00044681" w:rsidRDefault="00606186">
      <w:pPr>
        <w:pStyle w:val="Normal1"/>
      </w:pPr>
      <w:r>
        <w:t>This is not meant as a limiting statement but instead is intended to provide guidance to interested potential participants as to whether they wish to participate in this SWG.</w:t>
      </w:r>
    </w:p>
    <w:p w14:paraId="723AC92A" w14:textId="431AE49D" w:rsidR="00044681" w:rsidRDefault="00606186" w:rsidP="0003235B">
      <w:pPr>
        <w:pStyle w:val="Heading1"/>
        <w:contextualSpacing w:val="0"/>
      </w:pPr>
      <w:bookmarkStart w:id="15" w:name="h.qclebb1oih6b" w:colFirst="0" w:colLast="0"/>
      <w:bookmarkEnd w:id="15"/>
      <w:r>
        <w:rPr>
          <w:rFonts w:ascii="Arial" w:eastAsia="Arial" w:hAnsi="Arial" w:cs="Arial"/>
          <w:b/>
        </w:rPr>
        <w:t>8.    Other Informative Remarks about this SWG</w:t>
      </w:r>
    </w:p>
    <w:p w14:paraId="5444485E" w14:textId="77777777" w:rsidR="00044681" w:rsidRDefault="00606186">
      <w:pPr>
        <w:pStyle w:val="Heading2"/>
        <w:contextualSpacing w:val="0"/>
      </w:pPr>
      <w:bookmarkStart w:id="16" w:name="h.l48654dfm5db" w:colFirst="0" w:colLast="0"/>
      <w:bookmarkEnd w:id="16"/>
      <w:r>
        <w:t xml:space="preserve">a. </w:t>
      </w:r>
      <w:r>
        <w:rPr>
          <w:sz w:val="24"/>
          <w:u w:val="single"/>
        </w:rPr>
        <w:t>Similar or Applicable Standards Work (OGC and Elsewhere).</w:t>
      </w:r>
      <w:r>
        <w:t xml:space="preserve"> </w:t>
      </w:r>
    </w:p>
    <w:p w14:paraId="5A991E94" w14:textId="77777777" w:rsidR="00044681" w:rsidRDefault="00606186">
      <w:pPr>
        <w:pStyle w:val="Normal1"/>
      </w:pPr>
      <w:r>
        <w:t>The following standards and projects may be relevant to the SWG's planned work, although none currently provide the functionality anticipated by this committee's deliverables:</w:t>
      </w:r>
    </w:p>
    <w:p w14:paraId="3F370B34" w14:textId="40F505FB" w:rsidR="00044681" w:rsidRDefault="00025E09">
      <w:pPr>
        <w:pStyle w:val="Normal1"/>
        <w:numPr>
          <w:ilvl w:val="0"/>
          <w:numId w:val="1"/>
        </w:numPr>
        <w:ind w:hanging="360"/>
        <w:contextualSpacing/>
      </w:pPr>
      <w:r>
        <w:t>ISO 10181</w:t>
      </w:r>
    </w:p>
    <w:p w14:paraId="4F1728D0" w14:textId="05F3DBDA" w:rsidR="00025E09" w:rsidRDefault="00025E09">
      <w:pPr>
        <w:pStyle w:val="Normal1"/>
        <w:numPr>
          <w:ilvl w:val="0"/>
          <w:numId w:val="1"/>
        </w:numPr>
        <w:ind w:hanging="360"/>
        <w:contextualSpacing/>
      </w:pPr>
      <w:r>
        <w:t>IETF RFC 2818</w:t>
      </w:r>
      <w:r w:rsidR="002E7F61">
        <w:t>, 2617, 6256 (obsoletes 2965 and 2109)</w:t>
      </w:r>
    </w:p>
    <w:p w14:paraId="23396E9A" w14:textId="6704E921" w:rsidR="00025E09" w:rsidRDefault="00025E09">
      <w:pPr>
        <w:pStyle w:val="Normal1"/>
        <w:numPr>
          <w:ilvl w:val="0"/>
          <w:numId w:val="1"/>
        </w:numPr>
        <w:ind w:hanging="360"/>
        <w:contextualSpacing/>
      </w:pPr>
      <w:r>
        <w:t>OGC OWS Common 1.x and 2.0</w:t>
      </w:r>
    </w:p>
    <w:p w14:paraId="6D54BDDE" w14:textId="77777777" w:rsidR="00025E09" w:rsidRDefault="00025E09" w:rsidP="00C73CD9">
      <w:pPr>
        <w:pStyle w:val="Normal1"/>
        <w:contextualSpacing/>
      </w:pPr>
    </w:p>
    <w:p w14:paraId="3DB591E6" w14:textId="77777777" w:rsidR="00044681" w:rsidRDefault="00606186">
      <w:pPr>
        <w:pStyle w:val="Normal1"/>
      </w:pPr>
      <w:r>
        <w:t>The SWG intends to seek and if possible maintain liaison with each of the organizations maintaining the above works.</w:t>
      </w:r>
    </w:p>
    <w:p w14:paraId="79AAED62" w14:textId="77777777" w:rsidR="00044681" w:rsidRDefault="00606186">
      <w:pPr>
        <w:pStyle w:val="Heading2"/>
        <w:contextualSpacing w:val="0"/>
      </w:pPr>
      <w:bookmarkStart w:id="17" w:name="h.b7caqq6ff99b" w:colFirst="0" w:colLast="0"/>
      <w:bookmarkEnd w:id="17"/>
      <w:r>
        <w:t xml:space="preserve">b. </w:t>
      </w:r>
      <w:r>
        <w:rPr>
          <w:sz w:val="24"/>
          <w:u w:val="single"/>
        </w:rPr>
        <w:t>Details of the First Meeting</w:t>
      </w:r>
    </w:p>
    <w:p w14:paraId="2D61B7B9" w14:textId="79C135C5" w:rsidR="00044681" w:rsidRDefault="00606186">
      <w:pPr>
        <w:pStyle w:val="Normal1"/>
      </w:pPr>
      <w:r>
        <w:t xml:space="preserve">The first meeting of the SWG will be held during the September 2015 </w:t>
      </w:r>
      <w:r w:rsidR="00973BBC">
        <w:t xml:space="preserve">Technical Committee Meetings </w:t>
      </w:r>
      <w:r>
        <w:t xml:space="preserve">in Nottingham UK. </w:t>
      </w:r>
    </w:p>
    <w:p w14:paraId="18D1F612" w14:textId="77777777" w:rsidR="00044681" w:rsidRDefault="00606186">
      <w:pPr>
        <w:pStyle w:val="Heading2"/>
        <w:contextualSpacing w:val="0"/>
      </w:pPr>
      <w:bookmarkStart w:id="18" w:name="h.t5befdm6sre5" w:colFirst="0" w:colLast="0"/>
      <w:bookmarkEnd w:id="18"/>
      <w:r>
        <w:lastRenderedPageBreak/>
        <w:t xml:space="preserve">c. </w:t>
      </w:r>
      <w:r>
        <w:rPr>
          <w:sz w:val="24"/>
          <w:u w:val="single"/>
        </w:rPr>
        <w:t>Projected On-going Meeting Schedule</w:t>
      </w:r>
    </w:p>
    <w:p w14:paraId="49D9DD6A" w14:textId="77777777" w:rsidR="00044681" w:rsidRDefault="00DB1B88">
      <w:pPr>
        <w:pStyle w:val="Normal1"/>
      </w:pPr>
      <w:r>
        <w:t>The SWG anticipates a regular bi-weekly telecon schedule until such time that this will no longer be necessary.</w:t>
      </w:r>
    </w:p>
    <w:p w14:paraId="46101349" w14:textId="77777777" w:rsidR="00044681" w:rsidRDefault="00606186">
      <w:pPr>
        <w:pStyle w:val="Heading2"/>
        <w:contextualSpacing w:val="0"/>
      </w:pPr>
      <w:bookmarkStart w:id="19" w:name="h.reg7joan67ic" w:colFirst="0" w:colLast="0"/>
      <w:bookmarkEnd w:id="19"/>
      <w:r>
        <w:t>d</w:t>
      </w:r>
      <w:r>
        <w:rPr>
          <w:u w:val="single"/>
        </w:rPr>
        <w:t>. Supporters of the Proposal (Charter Members)</w:t>
      </w:r>
    </w:p>
    <w:p w14:paraId="71C0A0F2" w14:textId="77777777" w:rsidR="00044681" w:rsidRDefault="00606186">
      <w:pPr>
        <w:pStyle w:val="Normal1"/>
      </w:pPr>
      <w:r>
        <w:t xml:space="preserve">The following people support this proposal and are committed to the Charter and projected meeting schedule. These members are the Charter members. The charter members agree to the </w:t>
      </w:r>
      <w:proofErr w:type="spellStart"/>
      <w:r>
        <w:t>SoW</w:t>
      </w:r>
      <w:proofErr w:type="spellEnd"/>
      <w:r>
        <w:t xml:space="preserve"> (Clauses 4 and 5) and IPR terms (Clause 6) as defined in this charter. The charter members have voting rights beginning the day the SWG is officially formed. Charter Members are shown on the public SWG page. </w:t>
      </w:r>
    </w:p>
    <w:tbl>
      <w:tblPr>
        <w:tblStyle w:val="a0"/>
        <w:tblW w:w="949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30"/>
        <w:gridCol w:w="5565"/>
      </w:tblGrid>
      <w:tr w:rsidR="00044681" w14:paraId="460ED5DD" w14:textId="77777777">
        <w:tc>
          <w:tcPr>
            <w:tcW w:w="3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B646C" w14:textId="77777777" w:rsidR="00044681" w:rsidRDefault="00606186">
            <w:pPr>
              <w:pStyle w:val="Normal1"/>
              <w:spacing w:before="0" w:after="0" w:line="240" w:lineRule="auto"/>
              <w:jc w:val="center"/>
            </w:pPr>
            <w:r>
              <w:rPr>
                <w:b/>
              </w:rPr>
              <w:t>Name</w:t>
            </w:r>
          </w:p>
        </w:tc>
        <w:tc>
          <w:tcPr>
            <w:tcW w:w="55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782421" w14:textId="77777777" w:rsidR="00044681" w:rsidRDefault="00606186">
            <w:pPr>
              <w:pStyle w:val="Normal1"/>
              <w:spacing w:before="0" w:after="0" w:line="240" w:lineRule="auto"/>
              <w:jc w:val="center"/>
            </w:pPr>
            <w:r>
              <w:rPr>
                <w:b/>
              </w:rPr>
              <w:t>Organization</w:t>
            </w:r>
          </w:p>
        </w:tc>
      </w:tr>
      <w:tr w:rsidR="00044681" w14:paraId="086B8FC7"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2F4AE3" w14:textId="77777777" w:rsidR="00044681" w:rsidRDefault="002E7C6C">
            <w:pPr>
              <w:pStyle w:val="Normal1"/>
              <w:spacing w:before="0" w:after="0" w:line="240" w:lineRule="auto"/>
              <w:jc w:val="center"/>
            </w:pPr>
            <w:r>
              <w:rPr>
                <w:rFonts w:ascii="Helvetica" w:hAnsi="Helvetica" w:cs="Helvetica"/>
                <w:color w:val="auto"/>
                <w:szCs w:val="24"/>
                <w:lang w:val="de-DE"/>
              </w:rPr>
              <w:t xml:space="preserve">Frank </w:t>
            </w:r>
            <w:proofErr w:type="spellStart"/>
            <w:r>
              <w:rPr>
                <w:rFonts w:ascii="Helvetica" w:hAnsi="Helvetica" w:cs="Helvetica"/>
                <w:color w:val="auto"/>
                <w:szCs w:val="24"/>
                <w:lang w:val="de-DE"/>
              </w:rPr>
              <w:t>Terpstra</w:t>
            </w:r>
            <w:proofErr w:type="spellEnd"/>
          </w:p>
        </w:tc>
        <w:tc>
          <w:tcPr>
            <w:tcW w:w="5565" w:type="dxa"/>
            <w:tcBorders>
              <w:bottom w:val="single" w:sz="8" w:space="0" w:color="000000"/>
              <w:right w:val="single" w:sz="8" w:space="0" w:color="000000"/>
            </w:tcBorders>
            <w:tcMar>
              <w:top w:w="100" w:type="dxa"/>
              <w:left w:w="100" w:type="dxa"/>
              <w:bottom w:w="100" w:type="dxa"/>
              <w:right w:w="100" w:type="dxa"/>
            </w:tcMar>
          </w:tcPr>
          <w:p w14:paraId="2B58CADF" w14:textId="77777777" w:rsidR="00044681" w:rsidRDefault="002E7C6C">
            <w:pPr>
              <w:pStyle w:val="Normal1"/>
              <w:spacing w:before="0" w:after="0" w:line="240" w:lineRule="auto"/>
              <w:jc w:val="center"/>
            </w:pPr>
            <w:proofErr w:type="spellStart"/>
            <w:r>
              <w:rPr>
                <w:rFonts w:ascii="Helvetica" w:hAnsi="Helvetica" w:cs="Helvetica"/>
                <w:color w:val="auto"/>
                <w:szCs w:val="24"/>
                <w:lang w:val="de-DE"/>
              </w:rPr>
              <w:t>Geonovum</w:t>
            </w:r>
            <w:proofErr w:type="spellEnd"/>
            <w:r>
              <w:rPr>
                <w:rFonts w:ascii="Helvetica" w:hAnsi="Helvetica" w:cs="Helvetica"/>
                <w:color w:val="auto"/>
                <w:szCs w:val="24"/>
                <w:lang w:val="de-DE"/>
              </w:rPr>
              <w:t>, NL</w:t>
            </w:r>
          </w:p>
        </w:tc>
      </w:tr>
      <w:tr w:rsidR="00044681" w14:paraId="607F4F67"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7772B4" w14:textId="77777777" w:rsidR="00044681" w:rsidRDefault="002E7C6C">
            <w:pPr>
              <w:pStyle w:val="Normal1"/>
              <w:spacing w:before="0" w:after="0" w:line="240" w:lineRule="auto"/>
              <w:jc w:val="center"/>
            </w:pPr>
            <w:proofErr w:type="spellStart"/>
            <w:r>
              <w:rPr>
                <w:rFonts w:ascii="Helvetica" w:hAnsi="Helvetica" w:cs="Helvetica"/>
                <w:color w:val="auto"/>
                <w:szCs w:val="24"/>
                <w:lang w:val="de-DE"/>
              </w:rPr>
              <w:t>Satish</w:t>
            </w:r>
            <w:proofErr w:type="spellEnd"/>
            <w:r>
              <w:rPr>
                <w:rFonts w:ascii="Helvetica" w:hAnsi="Helvetica" w:cs="Helvetica"/>
                <w:color w:val="auto"/>
                <w:szCs w:val="24"/>
                <w:lang w:val="de-DE"/>
              </w:rPr>
              <w:t xml:space="preserve"> </w:t>
            </w:r>
            <w:proofErr w:type="spellStart"/>
            <w:r>
              <w:rPr>
                <w:rFonts w:ascii="Helvetica" w:hAnsi="Helvetica" w:cs="Helvetica"/>
                <w:color w:val="auto"/>
                <w:szCs w:val="24"/>
                <w:lang w:val="de-DE"/>
              </w:rPr>
              <w:t>Sankaran</w:t>
            </w:r>
            <w:proofErr w:type="spellEnd"/>
          </w:p>
        </w:tc>
        <w:tc>
          <w:tcPr>
            <w:tcW w:w="5565" w:type="dxa"/>
            <w:tcBorders>
              <w:bottom w:val="single" w:sz="8" w:space="0" w:color="000000"/>
              <w:right w:val="single" w:sz="8" w:space="0" w:color="000000"/>
            </w:tcBorders>
            <w:tcMar>
              <w:top w:w="100" w:type="dxa"/>
              <w:left w:w="100" w:type="dxa"/>
              <w:bottom w:w="100" w:type="dxa"/>
              <w:right w:w="100" w:type="dxa"/>
            </w:tcMar>
          </w:tcPr>
          <w:p w14:paraId="7E7819B6" w14:textId="77777777" w:rsidR="00044681" w:rsidRDefault="002E7C6C">
            <w:pPr>
              <w:pStyle w:val="Normal1"/>
              <w:spacing w:before="0" w:after="0" w:line="240" w:lineRule="auto"/>
              <w:jc w:val="center"/>
            </w:pPr>
            <w:proofErr w:type="spellStart"/>
            <w:r>
              <w:t>Esri</w:t>
            </w:r>
            <w:proofErr w:type="spellEnd"/>
            <w:r>
              <w:t>, USA</w:t>
            </w:r>
          </w:p>
        </w:tc>
      </w:tr>
      <w:tr w:rsidR="00044681" w14:paraId="483243F6"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161F07" w14:textId="77777777" w:rsidR="00044681" w:rsidRDefault="002E7C6C">
            <w:pPr>
              <w:pStyle w:val="Normal1"/>
              <w:spacing w:before="0" w:after="0" w:line="240" w:lineRule="auto"/>
              <w:jc w:val="center"/>
            </w:pPr>
            <w:r>
              <w:rPr>
                <w:rFonts w:ascii="Helvetica" w:hAnsi="Helvetica" w:cs="Helvetica"/>
                <w:color w:val="auto"/>
                <w:szCs w:val="24"/>
                <w:lang w:val="de-DE"/>
              </w:rPr>
              <w:t>Don Sullivan</w:t>
            </w:r>
          </w:p>
        </w:tc>
        <w:tc>
          <w:tcPr>
            <w:tcW w:w="5565" w:type="dxa"/>
            <w:tcBorders>
              <w:bottom w:val="single" w:sz="8" w:space="0" w:color="000000"/>
              <w:right w:val="single" w:sz="8" w:space="0" w:color="000000"/>
            </w:tcBorders>
            <w:tcMar>
              <w:top w:w="100" w:type="dxa"/>
              <w:left w:w="100" w:type="dxa"/>
              <w:bottom w:w="100" w:type="dxa"/>
              <w:right w:w="100" w:type="dxa"/>
            </w:tcMar>
          </w:tcPr>
          <w:p w14:paraId="5EB105A4" w14:textId="77777777" w:rsidR="00044681" w:rsidRDefault="002E7C6C">
            <w:pPr>
              <w:pStyle w:val="Normal1"/>
              <w:spacing w:before="0" w:after="0" w:line="240" w:lineRule="auto"/>
              <w:jc w:val="center"/>
            </w:pPr>
            <w:r>
              <w:t>NASA, USA</w:t>
            </w:r>
          </w:p>
        </w:tc>
      </w:tr>
      <w:tr w:rsidR="00044681" w14:paraId="6A2C3AB1" w14:textId="77777777">
        <w:tc>
          <w:tcPr>
            <w:tcW w:w="3930" w:type="dxa"/>
            <w:tcBorders>
              <w:left w:val="single" w:sz="8" w:space="0" w:color="000000"/>
              <w:right w:val="single" w:sz="8" w:space="0" w:color="000000"/>
            </w:tcBorders>
            <w:tcMar>
              <w:top w:w="100" w:type="dxa"/>
              <w:left w:w="100" w:type="dxa"/>
              <w:bottom w:w="100" w:type="dxa"/>
              <w:right w:w="100" w:type="dxa"/>
            </w:tcMar>
          </w:tcPr>
          <w:p w14:paraId="4B6616F9" w14:textId="77777777" w:rsidR="00044681" w:rsidRDefault="002E7C6C">
            <w:pPr>
              <w:pStyle w:val="Normal1"/>
              <w:spacing w:before="0" w:after="0" w:line="240" w:lineRule="auto"/>
              <w:jc w:val="center"/>
            </w:pPr>
            <w:r>
              <w:rPr>
                <w:rFonts w:ascii="Helvetica" w:hAnsi="Helvetica" w:cs="Helvetica"/>
                <w:color w:val="auto"/>
                <w:szCs w:val="24"/>
                <w:lang w:val="de-DE"/>
              </w:rPr>
              <w:t xml:space="preserve">Michael </w:t>
            </w:r>
            <w:proofErr w:type="spellStart"/>
            <w:r>
              <w:rPr>
                <w:rFonts w:ascii="Helvetica" w:hAnsi="Helvetica" w:cs="Helvetica"/>
                <w:color w:val="auto"/>
                <w:szCs w:val="24"/>
                <w:lang w:val="de-DE"/>
              </w:rPr>
              <w:t>Leedahl</w:t>
            </w:r>
            <w:proofErr w:type="spellEnd"/>
          </w:p>
        </w:tc>
        <w:tc>
          <w:tcPr>
            <w:tcW w:w="5565" w:type="dxa"/>
            <w:tcBorders>
              <w:right w:val="single" w:sz="8" w:space="0" w:color="000000"/>
            </w:tcBorders>
            <w:tcMar>
              <w:top w:w="100" w:type="dxa"/>
              <w:left w:w="100" w:type="dxa"/>
              <w:bottom w:w="100" w:type="dxa"/>
              <w:right w:w="100" w:type="dxa"/>
            </w:tcMar>
          </w:tcPr>
          <w:p w14:paraId="268C29CC" w14:textId="77777777" w:rsidR="00044681" w:rsidRDefault="002E7C6C">
            <w:pPr>
              <w:pStyle w:val="Normal1"/>
              <w:spacing w:before="0" w:after="0" w:line="240" w:lineRule="auto"/>
              <w:jc w:val="center"/>
            </w:pPr>
            <w:proofErr w:type="spellStart"/>
            <w:r>
              <w:rPr>
                <w:rFonts w:ascii="Helvetica" w:hAnsi="Helvetica" w:cs="Helvetica"/>
                <w:color w:val="auto"/>
                <w:szCs w:val="24"/>
                <w:lang w:val="de-DE"/>
              </w:rPr>
              <w:t>DigitalGlobe</w:t>
            </w:r>
            <w:proofErr w:type="spellEnd"/>
            <w:r w:rsidR="00B42A05">
              <w:rPr>
                <w:rFonts w:ascii="Helvetica" w:hAnsi="Helvetica" w:cs="Helvetica"/>
                <w:color w:val="auto"/>
                <w:szCs w:val="24"/>
                <w:lang w:val="de-DE"/>
              </w:rPr>
              <w:t>, USA</w:t>
            </w:r>
          </w:p>
        </w:tc>
      </w:tr>
      <w:tr w:rsidR="002E7C6C" w14:paraId="51089C20" w14:textId="77777777">
        <w:tc>
          <w:tcPr>
            <w:tcW w:w="3930" w:type="dxa"/>
            <w:tcBorders>
              <w:left w:val="single" w:sz="8" w:space="0" w:color="000000"/>
              <w:right w:val="single" w:sz="8" w:space="0" w:color="000000"/>
            </w:tcBorders>
            <w:tcMar>
              <w:top w:w="100" w:type="dxa"/>
              <w:left w:w="100" w:type="dxa"/>
              <w:bottom w:w="100" w:type="dxa"/>
              <w:right w:w="100" w:type="dxa"/>
            </w:tcMar>
          </w:tcPr>
          <w:p w14:paraId="3DD4925C" w14:textId="77777777" w:rsidR="002E7C6C" w:rsidRDefault="002E7C6C">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 xml:space="preserve">Arnaud </w:t>
            </w:r>
            <w:proofErr w:type="spellStart"/>
            <w:r>
              <w:rPr>
                <w:rFonts w:ascii="Helvetica" w:hAnsi="Helvetica" w:cs="Helvetica"/>
                <w:color w:val="auto"/>
                <w:szCs w:val="24"/>
                <w:lang w:val="de-DE"/>
              </w:rPr>
              <w:t>Cauchy</w:t>
            </w:r>
            <w:proofErr w:type="spellEnd"/>
          </w:p>
        </w:tc>
        <w:tc>
          <w:tcPr>
            <w:tcW w:w="5565" w:type="dxa"/>
            <w:tcBorders>
              <w:right w:val="single" w:sz="8" w:space="0" w:color="000000"/>
            </w:tcBorders>
            <w:tcMar>
              <w:top w:w="100" w:type="dxa"/>
              <w:left w:w="100" w:type="dxa"/>
              <w:bottom w:w="100" w:type="dxa"/>
              <w:right w:w="100" w:type="dxa"/>
            </w:tcMar>
          </w:tcPr>
          <w:p w14:paraId="1EFFA924" w14:textId="77777777" w:rsidR="002E7C6C" w:rsidRDefault="002E7C6C">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 xml:space="preserve">Airbus </w:t>
            </w:r>
            <w:proofErr w:type="spellStart"/>
            <w:r>
              <w:rPr>
                <w:rFonts w:ascii="Helvetica" w:hAnsi="Helvetica" w:cs="Helvetica"/>
                <w:color w:val="auto"/>
                <w:szCs w:val="24"/>
                <w:lang w:val="de-DE"/>
              </w:rPr>
              <w:t>Defence</w:t>
            </w:r>
            <w:proofErr w:type="spellEnd"/>
            <w:r>
              <w:rPr>
                <w:rFonts w:ascii="Helvetica" w:hAnsi="Helvetica" w:cs="Helvetica"/>
                <w:color w:val="auto"/>
                <w:szCs w:val="24"/>
                <w:lang w:val="de-DE"/>
              </w:rPr>
              <w:t xml:space="preserve"> &amp; Space</w:t>
            </w:r>
            <w:r w:rsidR="00B42A05">
              <w:rPr>
                <w:rFonts w:ascii="Helvetica" w:hAnsi="Helvetica" w:cs="Helvetica"/>
                <w:color w:val="auto"/>
                <w:szCs w:val="24"/>
                <w:lang w:val="de-DE"/>
              </w:rPr>
              <w:t>, F</w:t>
            </w:r>
          </w:p>
        </w:tc>
      </w:tr>
      <w:tr w:rsidR="002E7C6C" w14:paraId="73187219" w14:textId="77777777">
        <w:tc>
          <w:tcPr>
            <w:tcW w:w="3930" w:type="dxa"/>
            <w:tcBorders>
              <w:left w:val="single" w:sz="8" w:space="0" w:color="000000"/>
              <w:right w:val="single" w:sz="8" w:space="0" w:color="000000"/>
            </w:tcBorders>
            <w:tcMar>
              <w:top w:w="100" w:type="dxa"/>
              <w:left w:w="100" w:type="dxa"/>
              <w:bottom w:w="100" w:type="dxa"/>
              <w:right w:w="100" w:type="dxa"/>
            </w:tcMar>
          </w:tcPr>
          <w:p w14:paraId="525A4D7E" w14:textId="77777777" w:rsidR="002E7C6C" w:rsidRDefault="002E7C6C">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Jean-Baptiste Henry</w:t>
            </w:r>
          </w:p>
        </w:tc>
        <w:tc>
          <w:tcPr>
            <w:tcW w:w="5565" w:type="dxa"/>
            <w:tcBorders>
              <w:right w:val="single" w:sz="8" w:space="0" w:color="000000"/>
            </w:tcBorders>
            <w:tcMar>
              <w:top w:w="100" w:type="dxa"/>
              <w:left w:w="100" w:type="dxa"/>
              <w:bottom w:w="100" w:type="dxa"/>
              <w:right w:w="100" w:type="dxa"/>
            </w:tcMar>
          </w:tcPr>
          <w:p w14:paraId="6D5BBAC1" w14:textId="77777777" w:rsidR="002E7C6C" w:rsidRDefault="002E7C6C">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Thales</w:t>
            </w:r>
            <w:r w:rsidR="00B42A05">
              <w:rPr>
                <w:rFonts w:ascii="Helvetica" w:hAnsi="Helvetica" w:cs="Helvetica"/>
                <w:color w:val="auto"/>
                <w:szCs w:val="24"/>
                <w:lang w:val="de-DE"/>
              </w:rPr>
              <w:t>, F</w:t>
            </w:r>
          </w:p>
        </w:tc>
      </w:tr>
      <w:tr w:rsidR="002E7C6C" w14:paraId="0785CA01" w14:textId="77777777">
        <w:tc>
          <w:tcPr>
            <w:tcW w:w="3930" w:type="dxa"/>
            <w:tcBorders>
              <w:left w:val="single" w:sz="8" w:space="0" w:color="000000"/>
              <w:right w:val="single" w:sz="8" w:space="0" w:color="000000"/>
            </w:tcBorders>
            <w:tcMar>
              <w:top w:w="100" w:type="dxa"/>
              <w:left w:w="100" w:type="dxa"/>
              <w:bottom w:w="100" w:type="dxa"/>
              <w:right w:w="100" w:type="dxa"/>
            </w:tcMar>
          </w:tcPr>
          <w:p w14:paraId="0BDE302E" w14:textId="77777777" w:rsidR="002E7C6C" w:rsidRDefault="00B42A05">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Andreas Matheus</w:t>
            </w:r>
          </w:p>
        </w:tc>
        <w:tc>
          <w:tcPr>
            <w:tcW w:w="5565" w:type="dxa"/>
            <w:tcBorders>
              <w:right w:val="single" w:sz="8" w:space="0" w:color="000000"/>
            </w:tcBorders>
            <w:tcMar>
              <w:top w:w="100" w:type="dxa"/>
              <w:left w:w="100" w:type="dxa"/>
              <w:bottom w:w="100" w:type="dxa"/>
              <w:right w:w="100" w:type="dxa"/>
            </w:tcMar>
          </w:tcPr>
          <w:p w14:paraId="65EB1B5E" w14:textId="77777777" w:rsidR="002E7C6C" w:rsidRDefault="00B42A05" w:rsidP="00B42A05">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 xml:space="preserve">University </w:t>
            </w:r>
            <w:proofErr w:type="spellStart"/>
            <w:r>
              <w:rPr>
                <w:rFonts w:ascii="Helvetica" w:hAnsi="Helvetica" w:cs="Helvetica"/>
                <w:color w:val="auto"/>
                <w:szCs w:val="24"/>
                <w:lang w:val="de-DE"/>
              </w:rPr>
              <w:t>of</w:t>
            </w:r>
            <w:proofErr w:type="spellEnd"/>
            <w:r>
              <w:rPr>
                <w:rFonts w:ascii="Helvetica" w:hAnsi="Helvetica" w:cs="Helvetica"/>
                <w:color w:val="auto"/>
                <w:szCs w:val="24"/>
                <w:lang w:val="de-DE"/>
              </w:rPr>
              <w:t xml:space="preserve"> </w:t>
            </w:r>
            <w:proofErr w:type="spellStart"/>
            <w:r>
              <w:rPr>
                <w:rFonts w:ascii="Helvetica" w:hAnsi="Helvetica" w:cs="Helvetica"/>
                <w:color w:val="auto"/>
                <w:szCs w:val="24"/>
                <w:lang w:val="de-DE"/>
              </w:rPr>
              <w:t>the</w:t>
            </w:r>
            <w:proofErr w:type="spellEnd"/>
            <w:r>
              <w:rPr>
                <w:rFonts w:ascii="Helvetica" w:hAnsi="Helvetica" w:cs="Helvetica"/>
                <w:color w:val="auto"/>
                <w:szCs w:val="24"/>
                <w:lang w:val="de-DE"/>
              </w:rPr>
              <w:t xml:space="preserve"> Bundeswehr, D</w:t>
            </w:r>
          </w:p>
        </w:tc>
      </w:tr>
      <w:tr w:rsidR="00DB1B88" w14:paraId="2458AC5A"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A34E92" w14:textId="77777777" w:rsidR="00DB1B88" w:rsidRDefault="00DB1B88">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 xml:space="preserve">David </w:t>
            </w:r>
            <w:proofErr w:type="spellStart"/>
            <w:r>
              <w:rPr>
                <w:rFonts w:ascii="Helvetica" w:hAnsi="Helvetica" w:cs="Helvetica"/>
                <w:color w:val="auto"/>
                <w:szCs w:val="24"/>
                <w:lang w:val="de-DE"/>
              </w:rPr>
              <w:t>Wesloh</w:t>
            </w:r>
            <w:proofErr w:type="spellEnd"/>
          </w:p>
        </w:tc>
        <w:tc>
          <w:tcPr>
            <w:tcW w:w="5565" w:type="dxa"/>
            <w:tcBorders>
              <w:bottom w:val="single" w:sz="8" w:space="0" w:color="000000"/>
              <w:right w:val="single" w:sz="8" w:space="0" w:color="000000"/>
            </w:tcBorders>
            <w:tcMar>
              <w:top w:w="100" w:type="dxa"/>
              <w:left w:w="100" w:type="dxa"/>
              <w:bottom w:w="100" w:type="dxa"/>
              <w:right w:w="100" w:type="dxa"/>
            </w:tcMar>
          </w:tcPr>
          <w:p w14:paraId="3E0A1872" w14:textId="77777777" w:rsidR="00DB1B88" w:rsidRDefault="00DB1B88" w:rsidP="00B42A05">
            <w:pPr>
              <w:pStyle w:val="Normal1"/>
              <w:spacing w:before="0" w:after="0" w:line="240" w:lineRule="auto"/>
              <w:jc w:val="center"/>
              <w:rPr>
                <w:rFonts w:ascii="Helvetica" w:hAnsi="Helvetica" w:cs="Helvetica"/>
                <w:color w:val="auto"/>
                <w:szCs w:val="24"/>
                <w:lang w:val="de-DE"/>
              </w:rPr>
            </w:pPr>
            <w:r>
              <w:rPr>
                <w:rFonts w:ascii="Helvetica" w:hAnsi="Helvetica" w:cs="Helvetica"/>
                <w:color w:val="auto"/>
                <w:szCs w:val="24"/>
                <w:lang w:val="de-DE"/>
              </w:rPr>
              <w:t>NGA, USA</w:t>
            </w:r>
          </w:p>
        </w:tc>
      </w:tr>
    </w:tbl>
    <w:p w14:paraId="78D8B17D" w14:textId="77777777" w:rsidR="00044681" w:rsidRDefault="00606186">
      <w:pPr>
        <w:pStyle w:val="Normal1"/>
      </w:pPr>
      <w:r>
        <w:t xml:space="preserve"> </w:t>
      </w:r>
    </w:p>
    <w:p w14:paraId="2C1DFC7A" w14:textId="77777777" w:rsidR="00044681" w:rsidRDefault="00606186">
      <w:pPr>
        <w:pStyle w:val="Heading2"/>
        <w:contextualSpacing w:val="0"/>
      </w:pPr>
      <w:bookmarkStart w:id="20" w:name="h.v4omseq7qeb1" w:colFirst="0" w:colLast="0"/>
      <w:bookmarkEnd w:id="20"/>
      <w:r>
        <w:t>e</w:t>
      </w:r>
      <w:r>
        <w:rPr>
          <w:sz w:val="24"/>
          <w:u w:val="single"/>
        </w:rPr>
        <w:t>. Convener(s)</w:t>
      </w:r>
    </w:p>
    <w:p w14:paraId="156B95BC" w14:textId="77777777" w:rsidR="0036783B" w:rsidRDefault="00606186">
      <w:pPr>
        <w:pStyle w:val="Normal1"/>
      </w:pPr>
      <w:r>
        <w:t>The conveners who started this SWG process are</w:t>
      </w:r>
      <w:r w:rsidR="00377B6D">
        <w:t xml:space="preserve"> Dave </w:t>
      </w:r>
      <w:proofErr w:type="spellStart"/>
      <w:r w:rsidR="00377B6D">
        <w:t>Wesloh</w:t>
      </w:r>
      <w:proofErr w:type="spellEnd"/>
      <w:r w:rsidR="00377B6D">
        <w:t xml:space="preserve">, NGA and Andreas </w:t>
      </w:r>
      <w:proofErr w:type="spellStart"/>
      <w:r w:rsidR="00377B6D">
        <w:t>Matheus</w:t>
      </w:r>
      <w:proofErr w:type="spellEnd"/>
      <w:r w:rsidR="00377B6D">
        <w:t xml:space="preserve">, University of the </w:t>
      </w:r>
      <w:proofErr w:type="spellStart"/>
      <w:r w:rsidR="00377B6D">
        <w:t>Bundeswehr</w:t>
      </w:r>
      <w:proofErr w:type="spellEnd"/>
    </w:p>
    <w:p w14:paraId="5B5C16BA" w14:textId="77777777" w:rsidR="0036783B" w:rsidRDefault="0036783B">
      <w:pPr>
        <w:pStyle w:val="Normal1"/>
      </w:pPr>
    </w:p>
    <w:p w14:paraId="76E0B7B5" w14:textId="77777777" w:rsidR="0036783B" w:rsidRDefault="0036783B">
      <w:pPr>
        <w:pStyle w:val="Normal1"/>
      </w:pPr>
    </w:p>
    <w:p w14:paraId="25F4884D" w14:textId="77777777" w:rsidR="009850AB" w:rsidRDefault="009850AB">
      <w:pPr>
        <w:pStyle w:val="Normal1"/>
      </w:pPr>
    </w:p>
    <w:p w14:paraId="311DBB07" w14:textId="77777777" w:rsidR="009850AB" w:rsidRDefault="009850AB">
      <w:pPr>
        <w:pStyle w:val="Normal1"/>
      </w:pPr>
    </w:p>
    <w:p w14:paraId="5C9CD934" w14:textId="77777777" w:rsidR="002E6574" w:rsidRDefault="002E6574">
      <w:pPr>
        <w:pStyle w:val="Normal1"/>
      </w:pPr>
    </w:p>
    <w:sectPr w:rsidR="002E6574" w:rsidSect="00044681">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18BC9" w14:textId="77777777" w:rsidR="00B44DF8" w:rsidRDefault="00B44DF8" w:rsidP="00044681">
      <w:pPr>
        <w:spacing w:before="0" w:after="0" w:line="240" w:lineRule="auto"/>
      </w:pPr>
      <w:r>
        <w:separator/>
      </w:r>
    </w:p>
  </w:endnote>
  <w:endnote w:type="continuationSeparator" w:id="0">
    <w:p w14:paraId="4EED42D7" w14:textId="77777777" w:rsidR="00B44DF8" w:rsidRDefault="00B44DF8" w:rsidP="000446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Xingkai SC Light">
    <w:panose1 w:val="02010800040101010101"/>
    <w:charset w:val="88"/>
    <w:family w:val="auto"/>
    <w:pitch w:val="variable"/>
    <w:sig w:usb0="00000001" w:usb1="080F0000" w:usb2="00000010" w:usb3="00000000" w:csb0="00140000"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A1"/>
    <w:family w:val="auto"/>
    <w:pitch w:val="variable"/>
    <w:sig w:usb0="A00002AF" w:usb1="400078F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9415"/>
      <w:docPartObj>
        <w:docPartGallery w:val="Page Numbers (Bottom of Page)"/>
        <w:docPartUnique/>
      </w:docPartObj>
    </w:sdtPr>
    <w:sdtEndPr/>
    <w:sdtContent>
      <w:p w14:paraId="6E03306F" w14:textId="77777777" w:rsidR="0003235B" w:rsidRDefault="0003235B">
        <w:pPr>
          <w:pStyle w:val="Footer"/>
        </w:pPr>
        <w:r>
          <w:rPr>
            <w:noProof/>
          </w:rPr>
          <mc:AlternateContent>
            <mc:Choice Requires="wps">
              <w:drawing>
                <wp:anchor distT="0" distB="0" distL="114300" distR="114300" simplePos="0" relativeHeight="251660288" behindDoc="0" locked="0" layoutInCell="1" allowOverlap="1" wp14:anchorId="0B4D8036" wp14:editId="373C4C71">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sdt>
                              <w:sdtPr>
                                <w:rPr>
                                  <w:rFonts w:asciiTheme="majorHAnsi" w:hAnsiTheme="majorHAnsi"/>
                                  <w:sz w:val="48"/>
                                  <w:szCs w:val="44"/>
                                </w:rPr>
                                <w:id w:val="565050901"/>
                                <w:docPartObj>
                                  <w:docPartGallery w:val="Page Numbers (Margins)"/>
                                  <w:docPartUnique/>
                                </w:docPartObj>
                              </w:sdtPr>
                              <w:sdtEndPr/>
                              <w:sdtContent>
                                <w:sdt>
                                  <w:sdtPr>
                                    <w:rPr>
                                      <w:rFonts w:asciiTheme="majorHAnsi" w:hAnsiTheme="majorHAnsi"/>
                                      <w:sz w:val="48"/>
                                      <w:szCs w:val="44"/>
                                    </w:rPr>
                                    <w:id w:val="565050902"/>
                                    <w:docPartObj>
                                      <w:docPartGallery w:val="Page Numbers (Margins)"/>
                                      <w:docPartUnique/>
                                    </w:docPartObj>
                                  </w:sdtPr>
                                  <w:sdtEndPr/>
                                  <w:sdtContent>
                                    <w:p w14:paraId="1F4D6711" w14:textId="77777777" w:rsidR="0003235B" w:rsidRDefault="0003235B">
                                      <w:pPr>
                                        <w:jc w:val="center"/>
                                        <w:rPr>
                                          <w:rFonts w:asciiTheme="majorHAnsi" w:hAnsiTheme="majorHAnsi"/>
                                          <w:sz w:val="48"/>
                                          <w:szCs w:val="44"/>
                                        </w:rPr>
                                      </w:pPr>
                                      <w:r>
                                        <w:fldChar w:fldCharType="begin"/>
                                      </w:r>
                                      <w:r>
                                        <w:instrText xml:space="preserve"> PAGE   \* MERGEFORMAT </w:instrText>
                                      </w:r>
                                      <w:r>
                                        <w:fldChar w:fldCharType="separate"/>
                                      </w:r>
                                      <w:r w:rsidR="00C73CD9" w:rsidRPr="00C73CD9">
                                        <w:rPr>
                                          <w:rFonts w:asciiTheme="majorHAnsi" w:hAnsiTheme="majorHAnsi"/>
                                          <w:noProof/>
                                          <w:sz w:val="48"/>
                                          <w:szCs w:val="44"/>
                                        </w:rPr>
                                        <w:t>1</w:t>
                                      </w:r>
                                      <w:r>
                                        <w:rPr>
                                          <w:rFonts w:asciiTheme="majorHAnsi" w:hAnsiTheme="majorHAns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D8036" id="Rectangle_x0020_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" stroked="f">
                  <v:textbox>
                    <w:txbxContent>
                      <w:sdt>
                        <w:sdtPr>
                          <w:rPr>
                            <w:rFonts w:asciiTheme="majorHAnsi" w:hAnsiTheme="majorHAnsi"/>
                            <w:sz w:val="48"/>
                            <w:szCs w:val="44"/>
                          </w:rPr>
                          <w:id w:val="565050901"/>
                          <w:docPartObj>
                            <w:docPartGallery w:val="Page Numbers (Margins)"/>
                            <w:docPartUnique/>
                          </w:docPartObj>
                        </w:sdtPr>
                        <w:sdtEndPr/>
                        <w:sdtContent>
                          <w:sdt>
                            <w:sdtPr>
                              <w:rPr>
                                <w:rFonts w:asciiTheme="majorHAnsi" w:hAnsiTheme="majorHAnsi"/>
                                <w:sz w:val="48"/>
                                <w:szCs w:val="44"/>
                              </w:rPr>
                              <w:id w:val="565050902"/>
                              <w:docPartObj>
                                <w:docPartGallery w:val="Page Numbers (Margins)"/>
                                <w:docPartUnique/>
                              </w:docPartObj>
                            </w:sdtPr>
                            <w:sdtEndPr/>
                            <w:sdtContent>
                              <w:p w14:paraId="1F4D6711" w14:textId="77777777" w:rsidR="00FB453D" w:rsidRDefault="00EB6EFD">
                                <w:pPr>
                                  <w:jc w:val="center"/>
                                  <w:rPr>
                                    <w:rFonts w:asciiTheme="majorHAnsi" w:hAnsiTheme="majorHAnsi"/>
                                    <w:sz w:val="48"/>
                                    <w:szCs w:val="44"/>
                                  </w:rPr>
                                </w:pPr>
                                <w:r>
                                  <w:fldChar w:fldCharType="begin"/>
                                </w:r>
                                <w:r>
                                  <w:instrText xml:space="preserve"> PAGE   \* MERGEFORMAT </w:instrText>
                                </w:r>
                                <w:r>
                                  <w:fldChar w:fldCharType="separate"/>
                                </w:r>
                                <w:r w:rsidR="00973BBC" w:rsidRPr="00973BBC">
                                  <w:rPr>
                                    <w:rFonts w:asciiTheme="majorHAnsi" w:hAnsiTheme="majorHAnsi"/>
                                    <w:noProof/>
                                    <w:sz w:val="48"/>
                                    <w:szCs w:val="44"/>
                                  </w:rPr>
                                  <w:t>1</w:t>
                                </w:r>
                                <w:r>
                                  <w:rPr>
                                    <w:rFonts w:asciiTheme="majorHAnsi" w:hAnsiTheme="majorHAnsi"/>
                                    <w:noProof/>
                                    <w:sz w:val="48"/>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8AEF" w14:textId="77777777" w:rsidR="00B44DF8" w:rsidRDefault="00B44DF8" w:rsidP="00044681">
      <w:pPr>
        <w:spacing w:before="0" w:after="0" w:line="240" w:lineRule="auto"/>
      </w:pPr>
      <w:r>
        <w:separator/>
      </w:r>
    </w:p>
  </w:footnote>
  <w:footnote w:type="continuationSeparator" w:id="0">
    <w:p w14:paraId="21432844" w14:textId="77777777" w:rsidR="00B44DF8" w:rsidRDefault="00B44DF8" w:rsidP="00044681">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AB4AD" w14:textId="6CB6EF47" w:rsidR="0003235B" w:rsidRDefault="0003235B">
    <w:pPr>
      <w:pStyle w:val="Normal1"/>
    </w:pPr>
    <w:r>
      <w:rPr>
        <w:rFonts w:ascii="Arial Black" w:eastAsia="Arial Black" w:hAnsi="Arial Black" w:cs="Arial Black"/>
      </w:rPr>
      <w:t xml:space="preserve">OGC Document </w:t>
    </w:r>
    <w:r w:rsidRPr="00A4025F">
      <w:rPr>
        <w:rFonts w:ascii="Arial Black" w:eastAsia="Arial Black" w:hAnsi="Arial Black" w:cs="Arial Black"/>
        <w:b/>
        <w:bCs/>
      </w:rPr>
      <w:t>15-</w:t>
    </w:r>
    <w:r>
      <w:rPr>
        <w:rFonts w:ascii="Arial Black" w:eastAsia="Arial Black" w:hAnsi="Arial Black" w:cs="Arial Black"/>
        <w:b/>
        <w:bCs/>
      </w:rPr>
      <w:t>080</w:t>
    </w:r>
    <w:r>
      <w:rPr>
        <w:rFonts w:ascii="Arial Black" w:eastAsia="Arial Black" w:hAnsi="Arial Black" w:cs="Arial Black"/>
      </w:rPr>
      <w:tab/>
    </w:r>
    <w:r>
      <w:rPr>
        <w:rFonts w:ascii="Arial Black" w:eastAsia="Arial Black" w:hAnsi="Arial Black" w:cs="Arial Black"/>
      </w:rPr>
      <w:tab/>
    </w:r>
    <w:r>
      <w:rPr>
        <w:rFonts w:ascii="Arial Black" w:eastAsia="Arial Black" w:hAnsi="Arial Black" w:cs="Arial Black"/>
      </w:rPr>
      <w:tab/>
    </w:r>
    <w:r>
      <w:rPr>
        <w:rFonts w:ascii="Arial Black" w:eastAsia="Arial Black" w:hAnsi="Arial Black" w:cs="Arial Black"/>
      </w:rPr>
      <w:tab/>
      <w:t xml:space="preserve">  </w:t>
    </w:r>
    <w:r>
      <w:rPr>
        <w:rFonts w:ascii="Arial Black" w:eastAsia="Arial Black" w:hAnsi="Arial Black" w:cs="Arial Black"/>
      </w:rPr>
      <w:tab/>
    </w:r>
    <w:r>
      <w:rPr>
        <w:rFonts w:ascii="Arial Black" w:eastAsia="Arial Black" w:hAnsi="Arial Black" w:cs="Arial Black"/>
      </w:rPr>
      <w:tab/>
    </w:r>
    <w:r>
      <w:rPr>
        <w:rFonts w:ascii="Arial Black" w:eastAsia="Arial Black" w:hAnsi="Arial Black" w:cs="Arial Black"/>
        <w:b/>
      </w:rPr>
      <w:t>16 July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474F1"/>
    <w:multiLevelType w:val="multilevel"/>
    <w:tmpl w:val="3A2AD1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7B7194E"/>
    <w:multiLevelType w:val="hybridMultilevel"/>
    <w:tmpl w:val="F13E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6696B"/>
    <w:multiLevelType w:val="hybridMultilevel"/>
    <w:tmpl w:val="9676CE48"/>
    <w:lvl w:ilvl="0" w:tplc="EB825FA4">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86159A0"/>
    <w:multiLevelType w:val="hybridMultilevel"/>
    <w:tmpl w:val="3898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2781A"/>
    <w:multiLevelType w:val="multilevel"/>
    <w:tmpl w:val="AC3CE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2EB112C"/>
    <w:multiLevelType w:val="multilevel"/>
    <w:tmpl w:val="0BE0CF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81"/>
    <w:rsid w:val="000021FA"/>
    <w:rsid w:val="00025E09"/>
    <w:rsid w:val="0003235B"/>
    <w:rsid w:val="00044681"/>
    <w:rsid w:val="000C7A56"/>
    <w:rsid w:val="000D6838"/>
    <w:rsid w:val="000F3AEB"/>
    <w:rsid w:val="00103FF7"/>
    <w:rsid w:val="00136415"/>
    <w:rsid w:val="001544AC"/>
    <w:rsid w:val="001F3050"/>
    <w:rsid w:val="002635C1"/>
    <w:rsid w:val="002B7FBA"/>
    <w:rsid w:val="002D53AF"/>
    <w:rsid w:val="002E6574"/>
    <w:rsid w:val="002E7C6C"/>
    <w:rsid w:val="002E7F61"/>
    <w:rsid w:val="00331AE5"/>
    <w:rsid w:val="00346031"/>
    <w:rsid w:val="00354EA5"/>
    <w:rsid w:val="0036783B"/>
    <w:rsid w:val="00377B6D"/>
    <w:rsid w:val="003810FD"/>
    <w:rsid w:val="003C2552"/>
    <w:rsid w:val="00411E92"/>
    <w:rsid w:val="00427033"/>
    <w:rsid w:val="004D7511"/>
    <w:rsid w:val="00563E7E"/>
    <w:rsid w:val="005A227A"/>
    <w:rsid w:val="005D36DA"/>
    <w:rsid w:val="005F53B2"/>
    <w:rsid w:val="00606186"/>
    <w:rsid w:val="00621546"/>
    <w:rsid w:val="006252AE"/>
    <w:rsid w:val="00684108"/>
    <w:rsid w:val="00687E08"/>
    <w:rsid w:val="006A569A"/>
    <w:rsid w:val="006C3404"/>
    <w:rsid w:val="00703FC6"/>
    <w:rsid w:val="007256AD"/>
    <w:rsid w:val="00730916"/>
    <w:rsid w:val="00746817"/>
    <w:rsid w:val="007960C6"/>
    <w:rsid w:val="007A1266"/>
    <w:rsid w:val="007D4D65"/>
    <w:rsid w:val="007F0441"/>
    <w:rsid w:val="007F3D71"/>
    <w:rsid w:val="007F782E"/>
    <w:rsid w:val="00811610"/>
    <w:rsid w:val="0085459A"/>
    <w:rsid w:val="00861F00"/>
    <w:rsid w:val="00863B5C"/>
    <w:rsid w:val="008B365F"/>
    <w:rsid w:val="008E1F1D"/>
    <w:rsid w:val="00910F1C"/>
    <w:rsid w:val="009716C2"/>
    <w:rsid w:val="00973BBC"/>
    <w:rsid w:val="009850AB"/>
    <w:rsid w:val="009C7EB0"/>
    <w:rsid w:val="00A05141"/>
    <w:rsid w:val="00A4025F"/>
    <w:rsid w:val="00AE1D41"/>
    <w:rsid w:val="00B42A05"/>
    <w:rsid w:val="00B44DF8"/>
    <w:rsid w:val="00B72B75"/>
    <w:rsid w:val="00C15948"/>
    <w:rsid w:val="00C37F5F"/>
    <w:rsid w:val="00C6159A"/>
    <w:rsid w:val="00C654F5"/>
    <w:rsid w:val="00C73CD9"/>
    <w:rsid w:val="00CA6E8B"/>
    <w:rsid w:val="00D136A8"/>
    <w:rsid w:val="00D76E72"/>
    <w:rsid w:val="00D878CE"/>
    <w:rsid w:val="00D87E4C"/>
    <w:rsid w:val="00DB1B88"/>
    <w:rsid w:val="00DE0FCF"/>
    <w:rsid w:val="00DF0FED"/>
    <w:rsid w:val="00E15F1E"/>
    <w:rsid w:val="00EB1DC5"/>
    <w:rsid w:val="00EB6EFD"/>
    <w:rsid w:val="00ED1271"/>
    <w:rsid w:val="00F84B0B"/>
    <w:rsid w:val="00FA2B3E"/>
    <w:rsid w:val="00FB453D"/>
    <w:rsid w:val="00FD60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D98E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lang w:val="en-US" w:eastAsia="en-US" w:bidi="ar-SA"/>
      </w:rPr>
    </w:rPrDefault>
    <w:pPrDefault>
      <w:pPr>
        <w:spacing w:before="200"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044681"/>
    <w:pPr>
      <w:keepNext/>
      <w:keepLines/>
      <w:spacing w:after="0"/>
      <w:contextualSpacing/>
      <w:outlineLvl w:val="0"/>
    </w:pPr>
    <w:rPr>
      <w:rFonts w:ascii="Trebuchet MS" w:eastAsia="Trebuchet MS" w:hAnsi="Trebuchet MS" w:cs="Trebuchet MS"/>
      <w:sz w:val="32"/>
    </w:rPr>
  </w:style>
  <w:style w:type="paragraph" w:styleId="Heading2">
    <w:name w:val="heading 2"/>
    <w:basedOn w:val="Normal1"/>
    <w:next w:val="Normal1"/>
    <w:rsid w:val="00044681"/>
    <w:pPr>
      <w:keepNext/>
      <w:keepLines/>
      <w:contextualSpacing/>
      <w:outlineLvl w:val="1"/>
    </w:pPr>
    <w:rPr>
      <w:b/>
      <w:sz w:val="28"/>
    </w:rPr>
  </w:style>
  <w:style w:type="paragraph" w:styleId="Heading3">
    <w:name w:val="heading 3"/>
    <w:basedOn w:val="Normal1"/>
    <w:next w:val="Normal1"/>
    <w:rsid w:val="00044681"/>
    <w:pPr>
      <w:keepNext/>
      <w:keepLines/>
      <w:spacing w:before="160" w:after="0"/>
      <w:contextualSpacing/>
      <w:outlineLvl w:val="2"/>
    </w:pPr>
    <w:rPr>
      <w:rFonts w:ascii="Trebuchet MS" w:eastAsia="Trebuchet MS" w:hAnsi="Trebuchet MS" w:cs="Trebuchet MS"/>
      <w:b/>
      <w:color w:val="666666"/>
    </w:rPr>
  </w:style>
  <w:style w:type="paragraph" w:styleId="Heading4">
    <w:name w:val="heading 4"/>
    <w:basedOn w:val="Normal1"/>
    <w:next w:val="Normal1"/>
    <w:rsid w:val="00044681"/>
    <w:pPr>
      <w:keepNext/>
      <w:keepLines/>
      <w:spacing w:before="160" w:after="0"/>
      <w:contextualSpacing/>
      <w:outlineLvl w:val="3"/>
    </w:pPr>
    <w:rPr>
      <w:rFonts w:ascii="Trebuchet MS" w:eastAsia="Trebuchet MS" w:hAnsi="Trebuchet MS" w:cs="Trebuchet MS"/>
      <w:color w:val="666666"/>
      <w:sz w:val="22"/>
      <w:u w:val="single"/>
    </w:rPr>
  </w:style>
  <w:style w:type="paragraph" w:styleId="Heading5">
    <w:name w:val="heading 5"/>
    <w:basedOn w:val="Normal1"/>
    <w:next w:val="Normal1"/>
    <w:rsid w:val="00044681"/>
    <w:pPr>
      <w:keepNext/>
      <w:keepLines/>
      <w:spacing w:before="160" w:after="0"/>
      <w:contextualSpacing/>
      <w:outlineLvl w:val="4"/>
    </w:pPr>
    <w:rPr>
      <w:rFonts w:ascii="Trebuchet MS" w:eastAsia="Trebuchet MS" w:hAnsi="Trebuchet MS" w:cs="Trebuchet MS"/>
      <w:color w:val="666666"/>
      <w:sz w:val="22"/>
    </w:rPr>
  </w:style>
  <w:style w:type="paragraph" w:styleId="Heading6">
    <w:name w:val="heading 6"/>
    <w:basedOn w:val="Normal1"/>
    <w:next w:val="Normal1"/>
    <w:rsid w:val="00044681"/>
    <w:pPr>
      <w:keepNext/>
      <w:keepLines/>
      <w:spacing w:before="160" w:after="0"/>
      <w:contextualSpacing/>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4681"/>
  </w:style>
  <w:style w:type="paragraph" w:styleId="Title">
    <w:name w:val="Title"/>
    <w:basedOn w:val="Normal1"/>
    <w:next w:val="Normal1"/>
    <w:rsid w:val="00044681"/>
    <w:pPr>
      <w:keepNext/>
      <w:keepLines/>
      <w:spacing w:before="0" w:after="0"/>
      <w:contextualSpacing/>
    </w:pPr>
    <w:rPr>
      <w:rFonts w:ascii="Trebuchet MS" w:eastAsia="Trebuchet MS" w:hAnsi="Trebuchet MS" w:cs="Trebuchet MS"/>
      <w:sz w:val="42"/>
    </w:rPr>
  </w:style>
  <w:style w:type="paragraph" w:styleId="Subtitle">
    <w:name w:val="Subtitle"/>
    <w:basedOn w:val="Normal1"/>
    <w:next w:val="Normal1"/>
    <w:rsid w:val="00044681"/>
    <w:pPr>
      <w:keepNext/>
      <w:keepLines/>
      <w:spacing w:before="0"/>
      <w:contextualSpacing/>
    </w:pPr>
    <w:rPr>
      <w:rFonts w:ascii="Trebuchet MS" w:eastAsia="Trebuchet MS" w:hAnsi="Trebuchet MS" w:cs="Trebuchet MS"/>
      <w:i/>
      <w:color w:val="666666"/>
      <w:sz w:val="26"/>
    </w:rPr>
  </w:style>
  <w:style w:type="table" w:customStyle="1" w:styleId="a">
    <w:basedOn w:val="TableNormal"/>
    <w:rsid w:val="0004468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44681"/>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A402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4025F"/>
  </w:style>
  <w:style w:type="paragraph" w:styleId="Footer">
    <w:name w:val="footer"/>
    <w:basedOn w:val="Normal"/>
    <w:link w:val="FooterChar"/>
    <w:uiPriority w:val="99"/>
    <w:unhideWhenUsed/>
    <w:rsid w:val="00A402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4025F"/>
  </w:style>
  <w:style w:type="character" w:styleId="CommentReference">
    <w:name w:val="annotation reference"/>
    <w:basedOn w:val="DefaultParagraphFont"/>
    <w:uiPriority w:val="99"/>
    <w:semiHidden/>
    <w:unhideWhenUsed/>
    <w:rsid w:val="00FD60A7"/>
    <w:rPr>
      <w:sz w:val="16"/>
      <w:szCs w:val="16"/>
    </w:rPr>
  </w:style>
  <w:style w:type="paragraph" w:styleId="CommentText">
    <w:name w:val="annotation text"/>
    <w:basedOn w:val="Normal"/>
    <w:link w:val="CommentTextChar"/>
    <w:uiPriority w:val="99"/>
    <w:semiHidden/>
    <w:unhideWhenUsed/>
    <w:rsid w:val="00FD60A7"/>
    <w:pPr>
      <w:spacing w:line="240" w:lineRule="auto"/>
    </w:pPr>
    <w:rPr>
      <w:sz w:val="20"/>
    </w:rPr>
  </w:style>
  <w:style w:type="character" w:customStyle="1" w:styleId="CommentTextChar">
    <w:name w:val="Comment Text Char"/>
    <w:basedOn w:val="DefaultParagraphFont"/>
    <w:link w:val="CommentText"/>
    <w:uiPriority w:val="99"/>
    <w:semiHidden/>
    <w:rsid w:val="00FD60A7"/>
    <w:rPr>
      <w:sz w:val="20"/>
    </w:rPr>
  </w:style>
  <w:style w:type="paragraph" w:styleId="CommentSubject">
    <w:name w:val="annotation subject"/>
    <w:basedOn w:val="CommentText"/>
    <w:next w:val="CommentText"/>
    <w:link w:val="CommentSubjectChar"/>
    <w:uiPriority w:val="99"/>
    <w:semiHidden/>
    <w:unhideWhenUsed/>
    <w:rsid w:val="00FD60A7"/>
    <w:rPr>
      <w:b/>
      <w:bCs/>
    </w:rPr>
  </w:style>
  <w:style w:type="character" w:customStyle="1" w:styleId="CommentSubjectChar">
    <w:name w:val="Comment Subject Char"/>
    <w:basedOn w:val="CommentTextChar"/>
    <w:link w:val="CommentSubject"/>
    <w:uiPriority w:val="99"/>
    <w:semiHidden/>
    <w:rsid w:val="00FD60A7"/>
    <w:rPr>
      <w:b/>
      <w:bCs/>
      <w:sz w:val="20"/>
    </w:rPr>
  </w:style>
  <w:style w:type="paragraph" w:styleId="BalloonText">
    <w:name w:val="Balloon Text"/>
    <w:basedOn w:val="Normal"/>
    <w:link w:val="BalloonTextChar"/>
    <w:uiPriority w:val="99"/>
    <w:semiHidden/>
    <w:unhideWhenUsed/>
    <w:rsid w:val="00FD60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0A7"/>
    <w:rPr>
      <w:rFonts w:ascii="Tahoma" w:hAnsi="Tahoma" w:cs="Tahoma"/>
      <w:sz w:val="16"/>
      <w:szCs w:val="16"/>
    </w:rPr>
  </w:style>
  <w:style w:type="character" w:styleId="Strong">
    <w:name w:val="Strong"/>
    <w:basedOn w:val="DefaultParagraphFont"/>
    <w:uiPriority w:val="22"/>
    <w:qFormat/>
    <w:rsid w:val="00863B5C"/>
    <w:rPr>
      <w:b/>
      <w:bCs/>
    </w:rPr>
  </w:style>
  <w:style w:type="paragraph" w:styleId="Revision">
    <w:name w:val="Revision"/>
    <w:hidden/>
    <w:uiPriority w:val="99"/>
    <w:semiHidden/>
    <w:rsid w:val="00DF0FE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Spatial_data_infrastructur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DDE4-E43D-1D4A-AFC5-FA1E1595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1663</Words>
  <Characters>9480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11121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Wesloh David G Mr NGA-OCIOCE USA CIV</dc:creator>
  <cp:lastModifiedBy>Scott Simmons</cp:lastModifiedBy>
  <cp:revision>2</cp:revision>
  <dcterms:created xsi:type="dcterms:W3CDTF">2015-07-31T16:59:00Z</dcterms:created>
  <dcterms:modified xsi:type="dcterms:W3CDTF">2015-07-31T16:59:00Z</dcterms:modified>
</cp:coreProperties>
</file>